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2"/>
        <w:tblW w:w="5000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65"/>
        <w:gridCol w:w="871"/>
        <w:gridCol w:w="1619"/>
        <w:gridCol w:w="1994"/>
        <w:gridCol w:w="1614"/>
        <w:gridCol w:w="1191"/>
        <w:gridCol w:w="2791"/>
        <w:gridCol w:w="418"/>
        <w:gridCol w:w="471"/>
        <w:gridCol w:w="390"/>
        <w:gridCol w:w="392"/>
        <w:gridCol w:w="390"/>
        <w:gridCol w:w="390"/>
        <w:gridCol w:w="52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信丰县市政服务领域基层政务公开标准目录（燃气、市政设施）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序号</w:t>
            </w:r>
          </w:p>
        </w:tc>
        <w:tc>
          <w:tcPr>
            <w:tcW w:w="545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574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公开内容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（要素）</w:t>
            </w:r>
          </w:p>
        </w:tc>
        <w:tc>
          <w:tcPr>
            <w:tcW w:w="707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572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422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989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公开渠道和载体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（“■”表示必选项，“□”表示可选项）</w:t>
            </w:r>
          </w:p>
        </w:tc>
        <w:tc>
          <w:tcPr>
            <w:tcW w:w="315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27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45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574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22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989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主动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申请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市级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县级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54545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城镇燃气管理</w:t>
            </w: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1．申请条件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2．申请材料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3．申请流程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4．法定依据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《城镇燃气管理条例》（国务院令第583号）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信丰县住房和城乡建设局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□广播电视　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□公开查阅点　□政务服务中心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□便民服务站　□入户／现场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□社区／企事业单位／村公示栏（电子屏）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市政设施建设类审批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临时占用城市道路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《城市道路管理条例》（国务院令第198号）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道路挖掘修复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《城市道路管理条例》（国务院令第198号）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pct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城市园林绿化管理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砍伐、移植、修剪城市树木审批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《城市绿化条例》（国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令第100号）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《国务院对确需保留的行政审批项目设定行政许可的决定》（国务院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第412号）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迁移古树名木审批</w:t>
            </w: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《城市绿化条例》（国务院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第100号）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《国务院对确需保留的行政审批项目设定行政许可的决定》（国务院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第412号）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改变绿地规划、绿化用地使用性质审批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《城市绿化条例》（国务院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第100号）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《国务院对确需保留的行政审批项目设定行政许可的决定》（国务院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第412号）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6" w:type="pct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大型户外广告设置审批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在城市建筑物、设施上悬挂、张贴宣传品审批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大型户外广告设置审批</w:t>
            </w: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城市市容和环境卫生管理条例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（国务院令第101号）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在城市建筑物、设施上悬挂、张贴宣传品审批</w:t>
            </w:r>
          </w:p>
        </w:tc>
        <w:tc>
          <w:tcPr>
            <w:tcW w:w="57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城市市容和环境卫生管理条例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（国务院令第101号）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6" w:type="pct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市容环境卫生管理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从事城市生活垃圾经营性清扫、收集、运输服务审批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《城市生活垃圾管理办法》（建设部令第157号）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城市建筑垃圾处置核准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《城市建筑垃圾管理规定》（建设部令第139号）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《国务院对确需保留的行政审批项目设定行政许可的决定》（国务院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第412号）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关闭、闲置、拆除生活垃圾处置的设施、场所的核准</w:t>
            </w:r>
          </w:p>
        </w:tc>
        <w:tc>
          <w:tcPr>
            <w:tcW w:w="16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城市市容和环境卫生管理条例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（国务院令第101号）《城市生活垃圾管理办法》（建设部令第157号）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城市余土处置</w:t>
            </w:r>
          </w:p>
        </w:tc>
        <w:tc>
          <w:tcPr>
            <w:tcW w:w="16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《城市建筑垃圾管理规定》（建设部令第139号）《国务院对确需保留的行政审批项目设定行政许可的决定》（国务院令第412号）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在街道两侧和公共场地临时堆放物料、搭建非永久性建筑、构筑物或其他设施审批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《城市市容和环境卫生管理条例》（国务院令第101号）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6" w:type="pct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市政公用管理</w:t>
            </w: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因工程建设需要拆除、改动、迁移供水、排水与污水处理设施审核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《中华人民共和国城市供水条例》（国务院令第158号）；《城镇排水与污水处理条例》（国务院令第641号）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城镇污水排入排水管网许可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《城镇排水与污水处理条例》（国务院令第641号）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6" w:type="pct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特殊车辆在城市道路上行驶审批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申请流程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《中华人民共和国政府信息公开条例》（国务院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第711号）《城市道路管理条例》（国务院令第198号）</w:t>
            </w:r>
          </w:p>
        </w:tc>
        <w:tc>
          <w:tcPr>
            <w:tcW w:w="57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信息形成或者变更之日起20个工作日内</w:t>
            </w:r>
          </w:p>
        </w:tc>
        <w:tc>
          <w:tcPr>
            <w:tcW w:w="42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信丰县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■政府网站　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□两微一端　□发布会／听证会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广播电视　□纸质媒体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公开查阅点　□政务服务中心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便民服务站　□入户／现场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社区／企事业单位／村公示栏（电子屏）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精准推送　□其他＿</w:t>
            </w:r>
          </w:p>
        </w:tc>
        <w:tc>
          <w:tcPr>
            <w:tcW w:w="14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6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8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6838" w:h="11906" w:orient="landscape"/>
      <w:pgMar w:top="1576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xZTJiZmJkODc0ZTM4OTJhYWM4YzM5OTgxZjdjMDEifQ=="/>
  </w:docVars>
  <w:rsids>
    <w:rsidRoot w:val="00D0408F"/>
    <w:rsid w:val="00004DE4"/>
    <w:rsid w:val="000D5328"/>
    <w:rsid w:val="001337CF"/>
    <w:rsid w:val="001B28BC"/>
    <w:rsid w:val="00205D26"/>
    <w:rsid w:val="0028270C"/>
    <w:rsid w:val="00310E83"/>
    <w:rsid w:val="00362AB6"/>
    <w:rsid w:val="0052772F"/>
    <w:rsid w:val="007024F7"/>
    <w:rsid w:val="007241E4"/>
    <w:rsid w:val="00A30840"/>
    <w:rsid w:val="00C54EEE"/>
    <w:rsid w:val="00CC0967"/>
    <w:rsid w:val="00D0408F"/>
    <w:rsid w:val="00D25E8A"/>
    <w:rsid w:val="00D8386F"/>
    <w:rsid w:val="00DF659B"/>
    <w:rsid w:val="00ED1A50"/>
    <w:rsid w:val="00F2477C"/>
    <w:rsid w:val="00F3512B"/>
    <w:rsid w:val="0A0E4C65"/>
    <w:rsid w:val="152F6507"/>
    <w:rsid w:val="18510A99"/>
    <w:rsid w:val="1E30220D"/>
    <w:rsid w:val="1E7D6B4A"/>
    <w:rsid w:val="1F2A5246"/>
    <w:rsid w:val="22F2739B"/>
    <w:rsid w:val="22FC669D"/>
    <w:rsid w:val="312B57A2"/>
    <w:rsid w:val="32D2563D"/>
    <w:rsid w:val="3D0E3FC7"/>
    <w:rsid w:val="3FEC0F24"/>
    <w:rsid w:val="404552A0"/>
    <w:rsid w:val="43E342D9"/>
    <w:rsid w:val="49123924"/>
    <w:rsid w:val="4A014A04"/>
    <w:rsid w:val="4BF44DA5"/>
    <w:rsid w:val="4E4B391D"/>
    <w:rsid w:val="54F621D1"/>
    <w:rsid w:val="55705025"/>
    <w:rsid w:val="558E69BA"/>
    <w:rsid w:val="57544E4F"/>
    <w:rsid w:val="61B63590"/>
    <w:rsid w:val="67AE457D"/>
    <w:rsid w:val="74D04085"/>
    <w:rsid w:val="7B3B164D"/>
    <w:rsid w:val="7B9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158</Words>
  <Characters>903</Characters>
  <Lines>7</Lines>
  <Paragraphs>2</Paragraphs>
  <TotalTime>3</TotalTime>
  <ScaleCrop>false</ScaleCrop>
  <LinksUpToDate>false</LinksUpToDate>
  <CharactersWithSpaces>1059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2023-12-12T07:36:00Z</dcterms:created>
  <dc:creator>Admin</dc:creator>
  <cp:lastModifiedBy>WPS_1602410964</cp:lastModifiedBy>
  <dcterms:modified xsi:type="dcterms:W3CDTF">2024-04-28T03:51:23Z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9A095B07768448FD99481F63689130FC_12</vt:lpwstr>
  </property>
</Properties>
</file>