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2520">
      <w:pPr>
        <w:spacing w:line="500" w:lineRule="exact"/>
        <w:jc w:val="distribute"/>
        <w:rPr>
          <w:rFonts w:ascii="方正小标宋简体" w:eastAsia="方正小标宋简体"/>
          <w:color w:val="FF0000"/>
          <w:sz w:val="45"/>
        </w:rPr>
      </w:pPr>
      <w:bookmarkStart w:id="0" w:name="_GoBack"/>
      <w:bookmarkEnd w:id="0"/>
      <w:r>
        <w:rPr>
          <w:rFonts w:hint="eastAsia" w:ascii="方正小标宋简体" w:eastAsia="方正小标宋简体"/>
          <w:color w:val="FF0000"/>
          <w:sz w:val="45"/>
        </w:rPr>
        <w:t>信丰县卫生健康委员会</w:t>
      </w:r>
    </w:p>
    <w:p w14:paraId="5418B4E1">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信丰县发展和改革委员会</w:t>
      </w:r>
    </w:p>
    <w:p w14:paraId="42EC429C">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信丰县教育体育局</w:t>
      </w:r>
    </w:p>
    <w:p w14:paraId="4A6AB8EE">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信丰县科技局</w:t>
      </w:r>
    </w:p>
    <w:p w14:paraId="753C30B7">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信丰县民政局</w:t>
      </w:r>
    </w:p>
    <w:p w14:paraId="752E40F4">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信丰县财政局</w:t>
      </w:r>
    </w:p>
    <w:p w14:paraId="120D5170">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赣州市信丰生态环境局</w:t>
      </w:r>
    </w:p>
    <w:p w14:paraId="601765A1">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信丰县市场监督管理局</w:t>
      </w:r>
    </w:p>
    <w:p w14:paraId="72D9FDA8">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信丰县农业农村局</w:t>
      </w:r>
    </w:p>
    <w:p w14:paraId="770805A6">
      <w:pPr>
        <w:spacing w:line="500" w:lineRule="exact"/>
        <w:jc w:val="distribute"/>
        <w:rPr>
          <w:rFonts w:ascii="方正小标宋简体" w:eastAsia="方正小标宋简体"/>
          <w:color w:val="FF0000"/>
          <w:sz w:val="45"/>
        </w:rPr>
      </w:pPr>
      <w:r>
        <w:rPr>
          <w:rFonts w:hint="eastAsia" w:ascii="方正小标宋简体" w:eastAsia="方正小标宋简体"/>
          <w:color w:val="FF0000"/>
          <w:sz w:val="45"/>
        </w:rPr>
        <w:t>赣州市医疗保障局信丰分局</w:t>
      </w:r>
    </w:p>
    <w:p w14:paraId="258D851B">
      <w:pPr>
        <w:jc w:val="center"/>
        <w:rPr>
          <w:rFonts w:ascii="仿宋_GB2312" w:eastAsia="仿宋_GB2312"/>
          <w:sz w:val="32"/>
          <w:szCs w:val="32"/>
        </w:rPr>
      </w:pPr>
      <w:r>
        <w:t xml:space="preserve"> </w:t>
      </w:r>
    </w:p>
    <w:p w14:paraId="4B96BC33">
      <w:pPr>
        <w:jc w:val="center"/>
        <w:rPr>
          <w:rFonts w:ascii="仿宋_GB2312" w:hAnsi="仿宋" w:eastAsia="仿宋_GB2312"/>
          <w:sz w:val="32"/>
          <w:szCs w:val="32"/>
        </w:rPr>
      </w:pPr>
      <w:r>
        <w:rPr>
          <w:rFonts w:hint="eastAsia" w:ascii="仿宋_GB2312" w:eastAsia="仿宋_GB2312"/>
          <w:sz w:val="32"/>
          <w:szCs w:val="32"/>
        </w:rPr>
        <w:t>信卫健字</w:t>
      </w:r>
      <w:r>
        <w:rPr>
          <w:rFonts w:hint="eastAsia" w:ascii="仿宋_GB2312" w:hAnsi="仿宋" w:eastAsia="仿宋_GB2312"/>
          <w:sz w:val="32"/>
          <w:szCs w:val="32"/>
        </w:rPr>
        <w:t>〔</w:t>
      </w:r>
      <w:r>
        <w:rPr>
          <w:rFonts w:hint="eastAsia" w:ascii="仿宋_GB2312" w:hAnsi="宋体" w:eastAsia="仿宋_GB2312"/>
          <w:sz w:val="32"/>
          <w:szCs w:val="32"/>
        </w:rPr>
        <w:t>2024</w:t>
      </w:r>
      <w:r>
        <w:rPr>
          <w:rFonts w:hint="eastAsia" w:ascii="仿宋_GB2312" w:hAnsi="仿宋" w:eastAsia="仿宋_GB2312"/>
          <w:sz w:val="32"/>
          <w:szCs w:val="32"/>
        </w:rPr>
        <w:t>〕54号</w:t>
      </w:r>
    </w:p>
    <w:p w14:paraId="5D8E2F38">
      <w:pPr>
        <w:spacing w:line="560" w:lineRule="exact"/>
        <w:jc w:val="center"/>
        <w:textAlignment w:val="baseline"/>
        <w:rPr>
          <w:rFonts w:ascii="方正小标宋简体" w:eastAsia="方正小标宋简体" w:hAnsiTheme="majorEastAsia" w:cstheme="majorEastAsia"/>
          <w:bCs/>
          <w:color w:val="333333"/>
          <w:sz w:val="44"/>
          <w:szCs w:val="44"/>
          <w:shd w:val="clear" w:color="auto" w:fill="FFFFFF"/>
        </w:rPr>
      </w:pPr>
      <w:r>
        <w:rPr>
          <w:rFonts w:ascii="方正小标宋简体" w:eastAsia="方正小标宋简体" w:hAnsiTheme="majorEastAsia" w:cstheme="majorEastAsia"/>
          <w:bCs/>
          <w:color w:val="333333"/>
          <w:sz w:val="44"/>
          <w:szCs w:val="44"/>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66040</wp:posOffset>
                </wp:positionV>
                <wp:extent cx="5972175" cy="0"/>
                <wp:effectExtent l="0" t="0" r="9525" b="19050"/>
                <wp:wrapNone/>
                <wp:docPr id="5" name="直接连接符 5"/>
                <wp:cNvGraphicFramePr/>
                <a:graphic xmlns:a="http://schemas.openxmlformats.org/drawingml/2006/main">
                  <a:graphicData uri="http://schemas.microsoft.com/office/word/2010/wordprocessingShape">
                    <wps:wsp>
                      <wps:cNvCnPr/>
                      <wps:spPr>
                        <a:xfrm>
                          <a:off x="0" y="0"/>
                          <a:ext cx="59721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4pt;margin-top:5.2pt;height:0pt;width:470.25pt;z-index:251661312;mso-width-relative:page;mso-height-relative:page;" filled="f" stroked="t" coordsize="21600,21600" o:gfxdata="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UXOizYAAAACQEAAA8AAAAA&#10;AAAAAQAgAAAAIgAAAGRycy9kb3ducmV2LnhtbFBLAQIUABQAAAAIAIdO4kC7DDSP2wEAAJsDAAAO&#10;AAAAAAAAAAEAIAAAACcBAABkcnMvZTJvRG9jLnhtbFBLBQYAAAAABgAGAFkBAAB0BQAAAAA=&#10;">
                <v:fill on="f" focussize="0,0"/>
                <v:stroke weight="1.5pt" color="#FF0000 [3204]" joinstyle="round"/>
                <v:imagedata o:title=""/>
                <o:lock v:ext="edit" aspectratio="f"/>
              </v:line>
            </w:pict>
          </mc:Fallback>
        </mc:AlternateContent>
      </w:r>
    </w:p>
    <w:p w14:paraId="7C2DE9F8">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关于印发《健康信丰行动</w:t>
      </w:r>
      <w:r>
        <w:rPr>
          <w:rFonts w:hint="eastAsia" w:asciiTheme="majorEastAsia" w:hAnsiTheme="majorEastAsia" w:eastAsiaTheme="majorEastAsia" w:cstheme="majorEastAsia"/>
          <w:color w:val="000000" w:themeColor="text1"/>
          <w:sz w:val="44"/>
          <w:szCs w:val="44"/>
          <w14:textFill>
            <w14:solidFill>
              <w14:schemeClr w14:val="tx1"/>
            </w14:solidFill>
          </w14:textFill>
        </w:rPr>
        <w:t>—</w:t>
      </w:r>
      <w:r>
        <w:rPr>
          <w:rFonts w:hint="eastAsia" w:ascii="方正小标宋简体" w:hAnsi="宋体" w:eastAsia="方正小标宋简体"/>
          <w:bCs/>
          <w:sz w:val="44"/>
          <w:szCs w:val="44"/>
        </w:rPr>
        <w:t>癌症防治行动</w:t>
      </w:r>
    </w:p>
    <w:p w14:paraId="3E3274D4">
      <w:pPr>
        <w:spacing w:line="54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实施方案（2024</w:t>
      </w:r>
      <w:r>
        <w:rPr>
          <w:rFonts w:hint="eastAsia" w:asciiTheme="majorEastAsia" w:hAnsiTheme="majorEastAsia" w:eastAsiaTheme="majorEastAsia" w:cstheme="majorEastAsia"/>
          <w:color w:val="000000" w:themeColor="text1"/>
          <w:sz w:val="44"/>
          <w:szCs w:val="44"/>
          <w14:textFill>
            <w14:solidFill>
              <w14:schemeClr w14:val="tx1"/>
            </w14:solidFill>
          </w14:textFill>
        </w:rPr>
        <w:t>—</w:t>
      </w:r>
      <w:r>
        <w:rPr>
          <w:rFonts w:hint="eastAsia" w:ascii="方正小标宋简体" w:hAnsi="宋体" w:eastAsia="方正小标宋简体"/>
          <w:bCs/>
          <w:sz w:val="44"/>
          <w:szCs w:val="44"/>
        </w:rPr>
        <w:t>2030年）》的通知</w:t>
      </w:r>
    </w:p>
    <w:p w14:paraId="7674B2C7">
      <w:pPr>
        <w:spacing w:before="144" w:line="400" w:lineRule="exact"/>
        <w:rPr>
          <w:rFonts w:ascii="仿宋" w:hAnsi="仿宋" w:eastAsia="仿宋"/>
          <w:color w:val="FF0000"/>
          <w:sz w:val="32"/>
          <w:szCs w:val="32"/>
        </w:rPr>
      </w:pPr>
    </w:p>
    <w:p w14:paraId="4EC60FD4">
      <w:pPr>
        <w:spacing w:line="560" w:lineRule="exact"/>
        <w:rPr>
          <w:rFonts w:ascii="仿宋" w:hAnsi="仿宋" w:eastAsia="仿宋"/>
          <w:sz w:val="32"/>
          <w:szCs w:val="32"/>
        </w:rPr>
      </w:pPr>
      <w:r>
        <w:rPr>
          <w:rFonts w:hint="eastAsia" w:ascii="仿宋" w:hAnsi="仿宋" w:eastAsia="仿宋"/>
          <w:sz w:val="32"/>
          <w:szCs w:val="32"/>
        </w:rPr>
        <w:t>各乡（镇）人民政府，县直（驻县）相关单位，各医疗卫生单位：</w:t>
      </w:r>
    </w:p>
    <w:p w14:paraId="4554A7F8">
      <w:pPr>
        <w:widowControl/>
        <w:autoSpaceDE w:val="0"/>
        <w:autoSpaceDN w:val="0"/>
        <w:adjustRightInd w:val="0"/>
        <w:snapToGrid w:val="0"/>
        <w:spacing w:line="560" w:lineRule="exact"/>
        <w:ind w:firstLine="664"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themeColor="text1"/>
          <w:spacing w:val="6"/>
          <w:sz w:val="32"/>
          <w:szCs w:val="32"/>
          <w14:textFill>
            <w14:solidFill>
              <w14:schemeClr w14:val="tx1"/>
            </w14:solidFill>
          </w14:textFill>
        </w:rPr>
        <w:t>为深入开展癌症防治专项行动，进一步推动癌症防治工作高质量发展，切实维护广大人民群众身体健康，制定了《健康信丰行动—癌症防治行动实施方案（2024—2030年）》，现印发给你们，请认真贯彻执行</w:t>
      </w:r>
      <w:r>
        <w:rPr>
          <w:rFonts w:hint="eastAsia" w:ascii="宋体" w:hAnsi="宋体" w:eastAsia="仿宋_GB2312" w:cs="仿宋_GB2312"/>
          <w:color w:val="000000"/>
          <w:spacing w:val="2"/>
          <w:sz w:val="32"/>
          <w:szCs w:val="32"/>
        </w:rPr>
        <w:t>。</w:t>
      </w:r>
    </w:p>
    <w:p w14:paraId="2BEB78B1">
      <w:pPr>
        <w:widowControl/>
        <w:autoSpaceDE w:val="0"/>
        <w:autoSpaceDN w:val="0"/>
        <w:adjustRightInd w:val="0"/>
        <w:snapToGrid w:val="0"/>
        <w:spacing w:line="560" w:lineRule="exact"/>
        <w:textAlignment w:val="baseline"/>
        <w:rPr>
          <w:rFonts w:ascii="宋体" w:hAnsi="宋体" w:eastAsia="仿宋_GB2312" w:cs="仿宋_GB2312"/>
          <w:color w:val="000000"/>
          <w:spacing w:val="2"/>
          <w:sz w:val="32"/>
          <w:szCs w:val="32"/>
        </w:rPr>
      </w:pPr>
    </w:p>
    <w:p w14:paraId="609AB6B7">
      <w:pPr>
        <w:widowControl/>
        <w:autoSpaceDE w:val="0"/>
        <w:autoSpaceDN w:val="0"/>
        <w:adjustRightInd w:val="0"/>
        <w:snapToGrid w:val="0"/>
        <w:spacing w:line="560" w:lineRule="exact"/>
        <w:textAlignment w:val="baseline"/>
        <w:rPr>
          <w:rFonts w:ascii="宋体" w:hAnsi="宋体" w:eastAsia="仿宋_GB2312" w:cs="仿宋_GB2312"/>
          <w:color w:val="000000"/>
          <w:spacing w:val="2"/>
          <w:sz w:val="32"/>
          <w:szCs w:val="32"/>
        </w:rPr>
      </w:pPr>
    </w:p>
    <w:p w14:paraId="4F37E300">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spacing w:val="2"/>
          <w:sz w:val="32"/>
          <w:szCs w:val="32"/>
        </w:rPr>
        <w:t xml:space="preserve">信丰县卫生健康委员会        信丰县发展和改革委员会  </w:t>
      </w:r>
    </w:p>
    <w:p w14:paraId="16624A63">
      <w:pPr>
        <w:widowControl/>
        <w:autoSpaceDE w:val="0"/>
        <w:autoSpaceDN w:val="0"/>
        <w:adjustRightInd w:val="0"/>
        <w:snapToGrid w:val="0"/>
        <w:spacing w:line="560" w:lineRule="exact"/>
        <w:textAlignment w:val="baseline"/>
        <w:rPr>
          <w:rFonts w:ascii="宋体" w:hAnsi="宋体" w:eastAsia="仿宋_GB2312" w:cs="仿宋_GB2312"/>
          <w:color w:val="000000"/>
          <w:spacing w:val="2"/>
          <w:sz w:val="32"/>
          <w:szCs w:val="32"/>
        </w:rPr>
      </w:pPr>
    </w:p>
    <w:p w14:paraId="2C2A6D5F">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33B38889">
      <w:pPr>
        <w:widowControl/>
        <w:autoSpaceDE w:val="0"/>
        <w:autoSpaceDN w:val="0"/>
        <w:adjustRightInd w:val="0"/>
        <w:snapToGrid w:val="0"/>
        <w:spacing w:line="560" w:lineRule="exact"/>
        <w:ind w:firstLine="800"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spacing w:val="40"/>
          <w:sz w:val="32"/>
          <w:szCs w:val="32"/>
        </w:rPr>
        <w:t>信丰县教育体育局</w:t>
      </w:r>
      <w:r>
        <w:rPr>
          <w:rFonts w:hint="eastAsia" w:ascii="宋体" w:hAnsi="宋体" w:eastAsia="仿宋_GB2312" w:cs="仿宋_GB2312"/>
          <w:color w:val="000000"/>
          <w:spacing w:val="2"/>
          <w:sz w:val="32"/>
          <w:szCs w:val="32"/>
        </w:rPr>
        <w:t xml:space="preserve">          </w:t>
      </w:r>
      <w:r>
        <w:rPr>
          <w:rFonts w:hint="eastAsia" w:ascii="宋体" w:hAnsi="宋体" w:eastAsia="仿宋_GB2312" w:cs="仿宋_GB2312"/>
          <w:color w:val="000000"/>
          <w:spacing w:val="40"/>
          <w:sz w:val="32"/>
          <w:szCs w:val="32"/>
        </w:rPr>
        <w:t>信丰县科技局</w:t>
      </w:r>
    </w:p>
    <w:p w14:paraId="5300D7CA">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086D9A38">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49D3C376">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03DCDF8B">
      <w:pPr>
        <w:widowControl/>
        <w:autoSpaceDE w:val="0"/>
        <w:autoSpaceDN w:val="0"/>
        <w:adjustRightInd w:val="0"/>
        <w:snapToGrid w:val="0"/>
        <w:spacing w:line="560" w:lineRule="exact"/>
        <w:ind w:firstLine="800"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spacing w:val="40"/>
          <w:sz w:val="32"/>
          <w:szCs w:val="32"/>
        </w:rPr>
        <w:t xml:space="preserve">信丰县民政局 </w:t>
      </w:r>
      <w:r>
        <w:rPr>
          <w:rFonts w:hint="eastAsia" w:ascii="宋体" w:hAnsi="宋体" w:eastAsia="仿宋_GB2312" w:cs="仿宋_GB2312"/>
          <w:color w:val="000000"/>
          <w:spacing w:val="2"/>
          <w:sz w:val="32"/>
          <w:szCs w:val="32"/>
        </w:rPr>
        <w:t xml:space="preserve">              </w:t>
      </w:r>
      <w:r>
        <w:rPr>
          <w:rFonts w:hint="eastAsia" w:ascii="宋体" w:hAnsi="宋体" w:eastAsia="仿宋_GB2312" w:cs="仿宋_GB2312"/>
          <w:color w:val="000000"/>
          <w:spacing w:val="40"/>
          <w:sz w:val="32"/>
          <w:szCs w:val="32"/>
        </w:rPr>
        <w:t>信丰县财政局</w:t>
      </w:r>
    </w:p>
    <w:p w14:paraId="536E3D96">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1F5B89B5">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4EDAA699">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3532515C">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spacing w:val="2"/>
          <w:sz w:val="32"/>
          <w:szCs w:val="32"/>
        </w:rPr>
        <w:t>赣州市信丰生态环境局        信丰县市场监督管理局</w:t>
      </w:r>
    </w:p>
    <w:p w14:paraId="41F9A547">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4C48EE1B">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08224BCB">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p>
    <w:p w14:paraId="52BF13F1">
      <w:pPr>
        <w:widowControl/>
        <w:autoSpaceDE w:val="0"/>
        <w:autoSpaceDN w:val="0"/>
        <w:adjustRightInd w:val="0"/>
        <w:snapToGrid w:val="0"/>
        <w:spacing w:line="560" w:lineRule="exact"/>
        <w:ind w:firstLine="648" w:firstLineChars="200"/>
        <w:textAlignment w:val="baseline"/>
        <w:rPr>
          <w:rFonts w:ascii="宋体" w:hAnsi="宋体" w:eastAsia="仿宋_GB2312" w:cs="仿宋_GB2312"/>
          <w:color w:val="000000"/>
          <w:spacing w:val="2"/>
          <w:sz w:val="32"/>
          <w:szCs w:val="32"/>
        </w:rPr>
      </w:pPr>
      <w:r>
        <w:rPr>
          <w:rFonts w:hint="eastAsia" w:ascii="宋体" w:hAnsi="宋体" w:eastAsia="仿宋_GB2312" w:cs="仿宋_GB2312"/>
          <w:color w:val="000000"/>
          <w:spacing w:val="2"/>
          <w:sz w:val="32"/>
          <w:szCs w:val="32"/>
        </w:rPr>
        <w:t>信丰县农业农村局           赣州市医疗保障局信丰分局</w:t>
      </w:r>
    </w:p>
    <w:p w14:paraId="2DC94FEB">
      <w:pPr>
        <w:spacing w:before="161" w:line="560" w:lineRule="exact"/>
        <w:ind w:right="224" w:firstLine="620" w:firstLineChars="200"/>
        <w:rPr>
          <w:rFonts w:ascii="仿宋" w:hAnsi="仿宋" w:eastAsia="仿宋" w:cs="仿宋"/>
          <w:sz w:val="31"/>
          <w:szCs w:val="31"/>
        </w:rPr>
      </w:pPr>
    </w:p>
    <w:p w14:paraId="5025389D">
      <w:pPr>
        <w:spacing w:before="161" w:line="560" w:lineRule="exact"/>
        <w:ind w:right="224" w:firstLine="620" w:firstLineChars="200"/>
        <w:rPr>
          <w:rFonts w:ascii="仿宋" w:hAnsi="仿宋" w:eastAsia="仿宋" w:cs="仿宋"/>
          <w:sz w:val="31"/>
          <w:szCs w:val="31"/>
        </w:rPr>
      </w:pPr>
    </w:p>
    <w:p w14:paraId="68394C21">
      <w:pPr>
        <w:spacing w:before="161" w:line="560" w:lineRule="exact"/>
        <w:ind w:right="224" w:firstLine="620" w:firstLineChars="200"/>
        <w:rPr>
          <w:rFonts w:ascii="仿宋" w:hAnsi="仿宋" w:eastAsia="仿宋" w:cs="仿宋"/>
          <w:sz w:val="31"/>
          <w:szCs w:val="31"/>
        </w:rPr>
      </w:pPr>
      <w:r>
        <w:rPr>
          <w:rFonts w:hint="eastAsia" w:ascii="仿宋" w:hAnsi="仿宋" w:eastAsia="仿宋" w:cs="仿宋"/>
          <w:sz w:val="31"/>
          <w:szCs w:val="31"/>
        </w:rPr>
        <w:t xml:space="preserve">                                </w:t>
      </w:r>
      <w:r>
        <w:rPr>
          <w:rFonts w:ascii="仿宋" w:hAnsi="仿宋" w:eastAsia="仿宋" w:cs="仿宋"/>
          <w:sz w:val="31"/>
          <w:szCs w:val="31"/>
        </w:rPr>
        <w:t>2024年</w:t>
      </w:r>
      <w:r>
        <w:rPr>
          <w:rFonts w:hint="eastAsia" w:ascii="仿宋" w:hAnsi="仿宋" w:eastAsia="仿宋" w:cs="仿宋"/>
          <w:sz w:val="31"/>
          <w:szCs w:val="31"/>
        </w:rPr>
        <w:t>7</w:t>
      </w:r>
      <w:r>
        <w:rPr>
          <w:rFonts w:ascii="仿宋" w:hAnsi="仿宋" w:eastAsia="仿宋" w:cs="仿宋"/>
          <w:sz w:val="31"/>
          <w:szCs w:val="31"/>
        </w:rPr>
        <w:t>月</w:t>
      </w:r>
      <w:r>
        <w:rPr>
          <w:rFonts w:hint="eastAsia" w:ascii="仿宋" w:hAnsi="仿宋" w:eastAsia="仿宋" w:cs="仿宋"/>
          <w:sz w:val="31"/>
          <w:szCs w:val="31"/>
        </w:rPr>
        <w:t>23</w:t>
      </w:r>
      <w:r>
        <w:rPr>
          <w:rFonts w:ascii="仿宋" w:hAnsi="仿宋" w:eastAsia="仿宋" w:cs="仿宋"/>
          <w:sz w:val="31"/>
          <w:szCs w:val="31"/>
        </w:rPr>
        <w:t>日</w:t>
      </w:r>
    </w:p>
    <w:p w14:paraId="25673215">
      <w:pPr>
        <w:pStyle w:val="2"/>
      </w:pPr>
    </w:p>
    <w:p w14:paraId="7AC1E251">
      <w:pPr>
        <w:pStyle w:val="2"/>
      </w:pPr>
    </w:p>
    <w:p w14:paraId="7A1966E0">
      <w:pPr>
        <w:pStyle w:val="2"/>
      </w:pPr>
    </w:p>
    <w:p w14:paraId="37C16656">
      <w:pPr>
        <w:pStyle w:val="2"/>
      </w:pPr>
    </w:p>
    <w:p w14:paraId="25DE51E6">
      <w:pPr>
        <w:pStyle w:val="2"/>
      </w:pPr>
    </w:p>
    <w:p w14:paraId="16AAA298">
      <w:pPr>
        <w:pStyle w:val="2"/>
      </w:pPr>
    </w:p>
    <w:p w14:paraId="5A5D861E">
      <w:pPr>
        <w:pStyle w:val="2"/>
      </w:pPr>
    </w:p>
    <w:p w14:paraId="4E0912F4">
      <w:pPr>
        <w:pStyle w:val="2"/>
      </w:pPr>
    </w:p>
    <w:p w14:paraId="14FBE588">
      <w:pPr>
        <w:pStyle w:val="2"/>
      </w:pPr>
    </w:p>
    <w:p w14:paraId="0A909E20">
      <w:pPr>
        <w:pStyle w:val="2"/>
      </w:pPr>
    </w:p>
    <w:p w14:paraId="7F332DF1">
      <w:pPr>
        <w:spacing w:line="600" w:lineRule="exact"/>
        <w:rPr>
          <w:rFonts w:asciiTheme="majorEastAsia" w:hAnsiTheme="majorEastAsia" w:eastAsiaTheme="majorEastAsia" w:cstheme="majorEastAsia"/>
          <w:b/>
          <w:bCs/>
          <w:sz w:val="44"/>
          <w:szCs w:val="44"/>
        </w:rPr>
        <w:sectPr>
          <w:footerReference r:id="rId3" w:type="default"/>
          <w:pgSz w:w="11906" w:h="16838"/>
          <w:pgMar w:top="1418" w:right="1418" w:bottom="1418" w:left="1418" w:header="851" w:footer="992" w:gutter="0"/>
          <w:pgNumType w:fmt="numberInDash"/>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417195</wp:posOffset>
                </wp:positionV>
                <wp:extent cx="57880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8802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5pt;margin-top:32.85pt;height:0pt;width:455.75pt;z-index:251660288;mso-width-relative:page;mso-height-relative:page;" filled="f" stroked="t" coordsize="21600,21600" o:gfxdata="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DRz09cAAAAHAQAADwAAAAAAAAABACAAAAAiAAAAZHJzL2Rvd25yZXYueG1sUEsBAhQAFAAAAAgA&#10;h07iQESlYnPtAQAA2QMAAA4AAAAAAAAAAQAgAAAAJgEAAGRycy9lMm9Eb2MueG1sUEsFBgAAAAAG&#10;AAYAWQEAAIU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79375</wp:posOffset>
                </wp:positionV>
                <wp:extent cx="5788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88025"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25pt;margin-top:6.25pt;height:0pt;width:455.75pt;z-index:251659264;mso-width-relative:page;mso-height-relative:page;" filled="f" stroked="t" coordsize="21600,21600" o:gfxdata="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op&#10;nvzVAAAABwEAAA8AAAAAAAAAAQAgAAAAIgAAAGRycy9kb3ducmV2LnhtbFBLAQIUABQAAAAIAIdO&#10;4kB3XS3/7QEAANkDAAAOAAAAAAAAAAEAIAAAACQBAABkcnMvZTJvRG9jLnhtbFBLBQYAAAAABgAG&#10;AFkBAACDBQAAAAA=&#10;">
                <v:fill on="f" focussize="0,0"/>
                <v:stroke weight="1pt" color="#000000" joinstyle="round"/>
                <v:imagedata o:title=""/>
                <o:lock v:ext="edit" aspectratio="f"/>
              </v:line>
            </w:pict>
          </mc:Fallback>
        </mc:AlternateContent>
      </w:r>
      <w:r>
        <w:rPr>
          <w:rFonts w:hint="eastAsia" w:ascii="仿宋" w:hAnsi="仿宋" w:eastAsia="仿宋"/>
          <w:sz w:val="28"/>
          <w:szCs w:val="28"/>
        </w:rPr>
        <w:t>信丰县卫生健康委员会                          2024年 7 月23日</w:t>
      </w:r>
    </w:p>
    <w:p w14:paraId="568F942B">
      <w:pPr>
        <w:spacing w:line="560" w:lineRule="exact"/>
        <w:jc w:val="center"/>
        <w:rPr>
          <w:rFonts w:ascii="方正小标宋简体" w:eastAsia="方正小标宋简体" w:hAnsiTheme="majorEastAsia" w:cstheme="majorEastAsia"/>
          <w:color w:val="000000" w:themeColor="text1"/>
          <w:sz w:val="44"/>
          <w:szCs w:val="44"/>
          <w14:textFill>
            <w14:solidFill>
              <w14:schemeClr w14:val="tx1"/>
            </w14:solidFill>
          </w14:textFill>
        </w:rPr>
      </w:pPr>
      <w:r>
        <w:rPr>
          <w:rFonts w:hint="eastAsia" w:ascii="方正小标宋简体" w:eastAsia="方正小标宋简体" w:hAnsiTheme="majorEastAsia" w:cstheme="majorEastAsia"/>
          <w:color w:val="000000" w:themeColor="text1"/>
          <w:sz w:val="44"/>
          <w:szCs w:val="44"/>
          <w14:textFill>
            <w14:solidFill>
              <w14:schemeClr w14:val="tx1"/>
            </w14:solidFill>
          </w14:textFill>
        </w:rPr>
        <w:t>健康信丰行动</w:t>
      </w:r>
      <w:r>
        <w:rPr>
          <w:rFonts w:hint="eastAsia" w:asciiTheme="majorEastAsia" w:hAnsiTheme="majorEastAsia" w:eastAsiaTheme="majorEastAsia" w:cstheme="majorEastAsia"/>
          <w:color w:val="000000" w:themeColor="text1"/>
          <w:sz w:val="44"/>
          <w:szCs w:val="44"/>
          <w14:textFill>
            <w14:solidFill>
              <w14:schemeClr w14:val="tx1"/>
            </w14:solidFill>
          </w14:textFill>
        </w:rPr>
        <w:t>—</w:t>
      </w:r>
      <w:r>
        <w:rPr>
          <w:rFonts w:hint="eastAsia" w:ascii="方正小标宋简体" w:eastAsia="方正小标宋简体" w:hAnsiTheme="majorEastAsia" w:cstheme="majorEastAsia"/>
          <w:color w:val="000000" w:themeColor="text1"/>
          <w:sz w:val="44"/>
          <w:szCs w:val="44"/>
          <w14:textFill>
            <w14:solidFill>
              <w14:schemeClr w14:val="tx1"/>
            </w14:solidFill>
          </w14:textFill>
        </w:rPr>
        <w:t>癌症防治行动实施方案</w:t>
      </w:r>
    </w:p>
    <w:p w14:paraId="7F5A34B9">
      <w:pPr>
        <w:spacing w:line="560" w:lineRule="exact"/>
        <w:jc w:val="center"/>
        <w:rPr>
          <w:rFonts w:ascii="楷体_GB2312" w:eastAsia="楷体_GB2312" w:hAnsiTheme="majorEastAsia" w:cstheme="majorEastAsia"/>
          <w:color w:val="000000" w:themeColor="text1"/>
          <w:sz w:val="32"/>
          <w:szCs w:val="32"/>
          <w14:textFill>
            <w14:solidFill>
              <w14:schemeClr w14:val="tx1"/>
            </w14:solidFill>
          </w14:textFill>
        </w:rPr>
      </w:pPr>
      <w:r>
        <w:rPr>
          <w:rFonts w:hint="eastAsia" w:ascii="楷体_GB2312" w:eastAsia="楷体_GB2312" w:hAnsiTheme="majorEastAsia" w:cstheme="majorEastAsia"/>
          <w:color w:val="000000" w:themeColor="text1"/>
          <w:sz w:val="32"/>
          <w:szCs w:val="32"/>
          <w14:textFill>
            <w14:solidFill>
              <w14:schemeClr w14:val="tx1"/>
            </w14:solidFill>
          </w14:textFill>
        </w:rPr>
        <w:t>（2024-2030年）</w:t>
      </w:r>
    </w:p>
    <w:p w14:paraId="6E681BCF">
      <w:pPr>
        <w:spacing w:line="540" w:lineRule="exact"/>
        <w:rPr>
          <w:rFonts w:ascii="仿宋" w:hAnsi="仿宋" w:eastAsia="仿宋" w:cs="仿宋"/>
          <w:sz w:val="32"/>
          <w:szCs w:val="32"/>
        </w:rPr>
      </w:pPr>
    </w:p>
    <w:p w14:paraId="77A92CA3">
      <w:pPr>
        <w:pStyle w:val="3"/>
        <w:spacing w:after="0" w:line="540" w:lineRule="exact"/>
        <w:ind w:firstLine="648"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根据《健康江西行动一癌症防治行动实施方案（2024 -2030年）》《关于落实健康江西行动推进健康赣州建设的实施方案的通知》《健康赣州行动-癌症防治行动实施方案（2024-2030年）》等精神，在</w:t>
      </w:r>
      <w:r>
        <w:rPr>
          <w:rFonts w:hint="eastAsia" w:ascii="仿宋_GB2312" w:hAnsi="仿宋_GB2312" w:eastAsia="仿宋_GB2312" w:cs="仿宋_GB2312"/>
          <w:color w:val="000000" w:themeColor="text1"/>
          <w:spacing w:val="2"/>
          <w:sz w:val="32"/>
          <w:szCs w:val="32"/>
          <w14:textFill>
            <w14:solidFill>
              <w14:schemeClr w14:val="tx1"/>
            </w14:solidFill>
          </w14:textFill>
        </w:rPr>
        <w:t>《信丰县癌症防治行动实施方案（2020-2030年）》</w:t>
      </w:r>
      <w:r>
        <w:rPr>
          <w:rFonts w:hint="eastAsia" w:ascii="仿宋_GB2312" w:hAnsi="仿宋_GB2312" w:eastAsia="仿宋_GB2312" w:cs="仿宋_GB2312"/>
          <w:spacing w:val="2"/>
          <w:sz w:val="32"/>
          <w:szCs w:val="32"/>
        </w:rPr>
        <w:t>阶段性工作成果的基础上，进一步推动癌症防治工作高质量发展，特制定本方案。</w:t>
      </w:r>
    </w:p>
    <w:p w14:paraId="17FE0186">
      <w:pPr>
        <w:spacing w:line="540" w:lineRule="exact"/>
        <w:ind w:firstLine="668" w:firstLineChars="200"/>
        <w:rPr>
          <w:rFonts w:ascii="黑体" w:hAnsi="黑体" w:eastAsia="黑体" w:cs="黑体"/>
          <w:sz w:val="32"/>
          <w:szCs w:val="32"/>
        </w:rPr>
      </w:pPr>
      <w:r>
        <w:rPr>
          <w:rFonts w:hint="eastAsia" w:ascii="黑体" w:hAnsi="黑体" w:eastAsia="黑体" w:cs="黑体"/>
          <w:spacing w:val="7"/>
          <w:sz w:val="32"/>
          <w:szCs w:val="32"/>
        </w:rPr>
        <w:t>一、总体要求</w:t>
      </w:r>
    </w:p>
    <w:p w14:paraId="2F4F8D91">
      <w:pPr>
        <w:pStyle w:val="3"/>
        <w:spacing w:after="0" w:line="540" w:lineRule="exact"/>
        <w:ind w:firstLine="651" w:firstLineChars="200"/>
        <w:rPr>
          <w:sz w:val="32"/>
          <w:szCs w:val="32"/>
        </w:rPr>
      </w:pPr>
      <w:r>
        <w:rPr>
          <w:rFonts w:hint="eastAsia" w:ascii="楷体_GB2312" w:hAnsi="楷体" w:eastAsia="楷体_GB2312" w:cs="楷体"/>
          <w:b/>
          <w:spacing w:val="2"/>
          <w:sz w:val="32"/>
          <w:szCs w:val="32"/>
        </w:rPr>
        <w:t>（一）指导思想。</w:t>
      </w:r>
      <w:r>
        <w:rPr>
          <w:rFonts w:hint="eastAsia" w:ascii="仿宋_GB2312" w:hAnsi="仿宋_GB2312" w:eastAsia="仿宋_GB2312" w:cs="仿宋_GB2312"/>
          <w:spacing w:val="2"/>
          <w:sz w:val="32"/>
          <w:szCs w:val="32"/>
        </w:rPr>
        <w:t>以习近平新时代中国特色社会主义思想为指导，全面贯彻党的二十大精神，坚持以人民为中心的发展思想，推进健康信丰建设，把保障人民健康放在优先发展的战略位置。牢固树立大卫生、大健康的观念，坚持预防为主、防治结合、中西医并重、综合施策、全程管理，立足全人群、全生命周期、全社会，创新体制机制和工作模式，促进癌症防治关口前移。倡导健康生活方式，普及健康知识，动员群众参与癌症防治。加强癌症预防、筛查、早诊早治和科研攻关，集中优势力量在发病机制、防治技术、资源配置、政策保障等关键环节取得重点突破，有效减少癌症危害，为增进群众健康福祉、共建共享健康信丰奠定良好基础。</w:t>
      </w:r>
    </w:p>
    <w:p w14:paraId="49B38863">
      <w:pPr>
        <w:widowControl/>
        <w:adjustRightInd w:val="0"/>
        <w:snapToGrid w:val="0"/>
        <w:spacing w:line="540" w:lineRule="exact"/>
        <w:ind w:firstLine="667" w:firstLineChars="200"/>
        <w:textAlignment w:val="baseline"/>
        <w:rPr>
          <w:sz w:val="32"/>
          <w:szCs w:val="32"/>
        </w:rPr>
      </w:pPr>
      <w:r>
        <w:rPr>
          <w:rFonts w:hint="eastAsia" w:ascii="楷体_GB2312" w:hAnsi="楷体" w:eastAsia="楷体_GB2312" w:cs="楷体"/>
          <w:b/>
          <w:spacing w:val="6"/>
          <w:sz w:val="32"/>
          <w:szCs w:val="32"/>
        </w:rPr>
        <w:t>（二）主要目标。</w:t>
      </w:r>
      <w:r>
        <w:rPr>
          <w:rFonts w:hint="eastAsia" w:ascii="仿宋_GB2312" w:hAnsi="仿宋_GB2312" w:eastAsia="仿宋_GB2312" w:cs="仿宋_GB2312"/>
          <w:spacing w:val="2"/>
          <w:sz w:val="32"/>
          <w:szCs w:val="32"/>
        </w:rPr>
        <w:t>到2030年，癌症防治体系进一步完善，危险因素综合防控、癌症筛查和早诊早治能力显著增强，规范诊疗水平稳步提升，癌症发病率、死亡率上升趋势得到遏制，癌症防治核心知识知晓率不低于80%，重点癌种早诊率达到55%及以上，总体癌症5年生存率达到46.6%，患者疾病负担得到有效控制。</w:t>
      </w:r>
    </w:p>
    <w:p w14:paraId="46386B30">
      <w:pPr>
        <w:spacing w:line="540" w:lineRule="exact"/>
        <w:ind w:firstLine="672" w:firstLineChars="200"/>
        <w:rPr>
          <w:rFonts w:ascii="仿宋" w:hAnsi="仿宋" w:eastAsia="仿宋" w:cs="仿宋"/>
          <w:sz w:val="32"/>
          <w:szCs w:val="32"/>
        </w:rPr>
      </w:pPr>
      <w:r>
        <w:rPr>
          <w:rFonts w:hint="eastAsia" w:ascii="黑体" w:hAnsi="黑体" w:eastAsia="黑体" w:cs="黑体"/>
          <w:spacing w:val="8"/>
          <w:sz w:val="32"/>
          <w:szCs w:val="32"/>
        </w:rPr>
        <w:t>二、控制危险因素，降低癌症患病风险</w:t>
      </w:r>
    </w:p>
    <w:p w14:paraId="1E03E858">
      <w:pPr>
        <w:pStyle w:val="3"/>
        <w:spacing w:after="0" w:line="540" w:lineRule="exact"/>
        <w:ind w:firstLine="675" w:firstLineChars="200"/>
        <w:rPr>
          <w:rFonts w:ascii="仿宋_GB2312" w:hAnsi="仿宋_GB2312" w:eastAsia="仿宋_GB2312" w:cs="仿宋_GB2312"/>
          <w:spacing w:val="2"/>
          <w:sz w:val="32"/>
          <w:szCs w:val="32"/>
        </w:rPr>
      </w:pPr>
      <w:r>
        <w:rPr>
          <w:rFonts w:hint="eastAsia" w:ascii="楷体_GB2312" w:hAnsi="楷体" w:eastAsia="楷体_GB2312" w:cs="楷体"/>
          <w:b/>
          <w:spacing w:val="8"/>
          <w:sz w:val="32"/>
          <w:szCs w:val="32"/>
        </w:rPr>
        <w:t>（三）开展全民健康促进。</w:t>
      </w:r>
      <w:r>
        <w:rPr>
          <w:rFonts w:hint="eastAsia" w:ascii="仿宋_GB2312" w:hAnsi="仿宋_GB2312" w:eastAsia="仿宋_GB2312" w:cs="仿宋_GB2312"/>
          <w:snapToGrid w:val="0"/>
          <w:color w:val="000000"/>
          <w:spacing w:val="2"/>
          <w:kern w:val="0"/>
          <w:sz w:val="32"/>
          <w:szCs w:val="32"/>
        </w:rPr>
        <w:t>建设权威的科普信息传播平台，编制发布癌症防治核心信息和知识要点。深入组织开展肿瘤防治宣传周等活动，普及防癌健康科普知识，提高全民防癌抗癌意识。将癌症防治知识作为学校、医疗卫生机构、企业、社区、养老机构等重要健康教育内容。加强农村居民癌症防治宣传教育。到2030年，癌症防治核心知识知晓率不低于80%。积极推进全民健康生活方式行动。科学指导大众开展自我健康管理。加强青少年健康知识和行为方式教育。积极推进无烟环境建设，深入开展控烟宣传，强化戒烟服务，广泛禁止烟草广告，持续推进控烟措施。</w:t>
      </w:r>
      <w:r>
        <w:rPr>
          <w:rFonts w:hint="eastAsia" w:ascii="仿宋_GB2312" w:hAnsi="仿宋_GB2312" w:eastAsia="仿宋_GB2312" w:cs="仿宋_GB2312"/>
          <w:b/>
          <w:bCs/>
          <w:spacing w:val="2"/>
          <w:sz w:val="32"/>
          <w:szCs w:val="32"/>
        </w:rPr>
        <w:t>（县卫健委牵头，县教体局、县民政局等相关部门配合）</w:t>
      </w:r>
    </w:p>
    <w:p w14:paraId="5F35028D">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（四）减少致癌相关感染。</w:t>
      </w:r>
      <w:r>
        <w:rPr>
          <w:rFonts w:hint="eastAsia" w:ascii="仿宋_GB2312" w:hAnsi="仿宋_GB2312" w:eastAsia="仿宋_GB2312" w:cs="仿宋_GB2312"/>
          <w:snapToGrid w:val="0"/>
          <w:color w:val="000000"/>
          <w:spacing w:val="2"/>
          <w:kern w:val="0"/>
          <w:sz w:val="32"/>
          <w:szCs w:val="32"/>
        </w:rPr>
        <w:t>促进保持个人卫生，预防与癌症发生相关的细菌（如幽门螺旋杆菌等）、病毒（如人乳头瘤病毒、肝炎病毒、EB 病毒等）感染。加强成年乙型肝炎病毒感染高风险人群的乙肝疫苗接种工作。加强人乳头瘤病毒疫苗（HPV疫苗）接种的科学宣传，促进适龄人群接种，将“为适龄女生免费接种HPV 疫苗”纳入惠民政策。</w:t>
      </w:r>
      <w:r>
        <w:rPr>
          <w:rFonts w:hint="eastAsia" w:ascii="仿宋_GB2312" w:hAnsi="仿宋_GB2312" w:eastAsia="仿宋_GB2312" w:cs="仿宋_GB2312"/>
          <w:b/>
          <w:bCs/>
          <w:spacing w:val="2"/>
          <w:sz w:val="32"/>
          <w:szCs w:val="32"/>
        </w:rPr>
        <w:t>（县卫健委、县市场监督管理局负责）</w:t>
      </w:r>
    </w:p>
    <w:p w14:paraId="48FAC46C">
      <w:pPr>
        <w:pStyle w:val="3"/>
        <w:spacing w:after="0" w:line="540" w:lineRule="exact"/>
        <w:ind w:firstLine="663" w:firstLineChars="200"/>
      </w:pPr>
      <w:r>
        <w:rPr>
          <w:rFonts w:hint="eastAsia" w:ascii="楷体_GB2312" w:hAnsi="楷体" w:eastAsia="楷体_GB2312" w:cs="楷体"/>
          <w:b/>
          <w:spacing w:val="5"/>
          <w:sz w:val="32"/>
          <w:szCs w:val="32"/>
        </w:rPr>
        <w:t>（五）加强环境与健康工作。</w:t>
      </w:r>
      <w:r>
        <w:rPr>
          <w:rFonts w:hint="eastAsia" w:ascii="仿宋" w:hAnsi="仿宋" w:eastAsia="仿宋" w:cs="仿宋"/>
          <w:spacing w:val="9"/>
          <w:sz w:val="32"/>
          <w:szCs w:val="32"/>
        </w:rPr>
        <w:t>加强水生态保护，保障饮用</w:t>
      </w:r>
      <w:r>
        <w:rPr>
          <w:rFonts w:hint="eastAsia" w:ascii="仿宋" w:hAnsi="仿宋" w:eastAsia="仿宋" w:cs="仿宋"/>
          <w:spacing w:val="6"/>
          <w:sz w:val="32"/>
          <w:szCs w:val="32"/>
        </w:rPr>
        <w:t>水水源地水质安全，保障农用地和建设用地土壤环境安全</w:t>
      </w:r>
      <w:r>
        <w:rPr>
          <w:rFonts w:hint="eastAsia" w:ascii="仿宋" w:hAnsi="仿宋" w:eastAsia="仿宋" w:cs="仿宋"/>
          <w:spacing w:val="5"/>
          <w:sz w:val="32"/>
          <w:szCs w:val="32"/>
        </w:rPr>
        <w:t>。推动空气质量巩固提升，促进清洁燃料使用，严禁室内环境质量</w:t>
      </w:r>
      <w:r>
        <w:rPr>
          <w:rFonts w:hint="eastAsia" w:ascii="仿宋" w:hAnsi="仿宋" w:eastAsia="仿宋" w:cs="仿宋"/>
          <w:spacing w:val="7"/>
          <w:sz w:val="32"/>
          <w:szCs w:val="32"/>
        </w:rPr>
        <w:t>验收不合格的工程投入使用。加强与群众健康密切相关的饮用</w:t>
      </w:r>
      <w:r>
        <w:rPr>
          <w:rFonts w:hint="eastAsia" w:ascii="仿宋" w:hAnsi="仿宋" w:eastAsia="仿宋" w:cs="仿宋"/>
          <w:spacing w:val="6"/>
          <w:sz w:val="32"/>
          <w:szCs w:val="32"/>
        </w:rPr>
        <w:t>水、大气、土壤等环境健康影响监测与评价，研究建立环境与健康调查和风险评估制度，配合国家加强环境健康风险监测体</w:t>
      </w:r>
      <w:r>
        <w:rPr>
          <w:rFonts w:hint="eastAsia" w:ascii="仿宋" w:hAnsi="仿宋" w:eastAsia="仿宋" w:cs="仿宋"/>
          <w:spacing w:val="5"/>
          <w:sz w:val="32"/>
          <w:szCs w:val="32"/>
        </w:rPr>
        <w:t>系建设，推进环境健康风险管理。深入开展爱国卫生运动，推</w:t>
      </w:r>
      <w:r>
        <w:rPr>
          <w:rFonts w:hint="eastAsia" w:ascii="仿宋" w:hAnsi="仿宋" w:eastAsia="仿宋" w:cs="仿宋"/>
          <w:spacing w:val="12"/>
          <w:sz w:val="32"/>
          <w:szCs w:val="32"/>
        </w:rPr>
        <w:t>进城乡环境卫生综合整治。</w:t>
      </w:r>
      <w:r>
        <w:rPr>
          <w:rFonts w:hint="eastAsia" w:ascii="仿宋_GB2312" w:hAnsi="仿宋_GB2312" w:eastAsia="仿宋_GB2312" w:cs="仿宋_GB2312"/>
          <w:b/>
          <w:bCs/>
          <w:spacing w:val="2"/>
          <w:sz w:val="32"/>
          <w:szCs w:val="32"/>
        </w:rPr>
        <w:t>（县卫健委、赣州市信丰生态环境局牵头，各有关部门配合）</w:t>
      </w:r>
    </w:p>
    <w:p w14:paraId="7C927749">
      <w:pPr>
        <w:pStyle w:val="3"/>
        <w:spacing w:after="0" w:line="540" w:lineRule="exact"/>
        <w:ind w:firstLine="671"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7"/>
          <w:sz w:val="32"/>
          <w:szCs w:val="32"/>
        </w:rPr>
        <w:t>（六）推进职业性肿瘤防治工作。</w:t>
      </w:r>
      <w:r>
        <w:rPr>
          <w:rFonts w:hint="eastAsia" w:ascii="仿宋_GB2312" w:hAnsi="仿宋_GB2312" w:eastAsia="仿宋_GB2312" w:cs="仿宋_GB2312"/>
          <w:spacing w:val="2"/>
          <w:sz w:val="32"/>
          <w:szCs w:val="32"/>
        </w:rPr>
        <w:t>深化职业健康保护行动，推进健康单位建设，保障劳动者的身心健康。用人单位依法依规组织开展工作场所职业危害因素的定期检测、劳动者职业健康检查和个体防护管理等，全面落实职业病防治主体责任。</w:t>
      </w:r>
      <w:r>
        <w:rPr>
          <w:rFonts w:hint="eastAsia" w:ascii="仿宋_GB2312" w:hAnsi="仿宋_GB2312" w:eastAsia="仿宋_GB2312" w:cs="仿宋_GB2312"/>
          <w:b/>
          <w:bCs/>
          <w:spacing w:val="2"/>
          <w:sz w:val="32"/>
          <w:szCs w:val="32"/>
        </w:rPr>
        <w:t>（县卫健委牵头，各有关部门配合）</w:t>
      </w:r>
    </w:p>
    <w:p w14:paraId="5046DAB2">
      <w:pPr>
        <w:spacing w:line="540" w:lineRule="exact"/>
        <w:ind w:firstLine="672" w:firstLineChars="200"/>
        <w:rPr>
          <w:rFonts w:ascii="黑体" w:hAnsi="黑体" w:eastAsia="黑体" w:cs="黑体"/>
          <w:sz w:val="32"/>
          <w:szCs w:val="32"/>
        </w:rPr>
      </w:pPr>
      <w:r>
        <w:rPr>
          <w:rFonts w:hint="eastAsia" w:ascii="黑体" w:hAnsi="黑体" w:eastAsia="黑体" w:cs="黑体"/>
          <w:spacing w:val="8"/>
          <w:sz w:val="32"/>
          <w:szCs w:val="32"/>
        </w:rPr>
        <w:t>三、完善癌症防治服务体系，加强信息共享</w:t>
      </w:r>
    </w:p>
    <w:p w14:paraId="407BA048">
      <w:pPr>
        <w:widowControl/>
        <w:adjustRightInd w:val="0"/>
        <w:snapToGrid w:val="0"/>
        <w:spacing w:line="540" w:lineRule="exact"/>
        <w:ind w:firstLine="663" w:firstLineChars="200"/>
        <w:textAlignment w:val="baseline"/>
        <w:rPr>
          <w:rFonts w:ascii="仿宋_GB2312" w:hAnsi="仿宋_GB2312" w:eastAsia="仿宋_GB2312" w:cs="仿宋_GB2312"/>
          <w:b/>
          <w:bCs/>
          <w:snapToGrid w:val="0"/>
          <w:color w:val="000000"/>
          <w:spacing w:val="2"/>
          <w:kern w:val="0"/>
          <w:sz w:val="32"/>
          <w:szCs w:val="32"/>
        </w:rPr>
      </w:pPr>
      <w:r>
        <w:rPr>
          <w:rFonts w:hint="eastAsia" w:ascii="楷体_GB2312" w:hAnsi="楷体" w:eastAsia="楷体_GB2312" w:cs="楷体"/>
          <w:b/>
          <w:spacing w:val="5"/>
          <w:sz w:val="32"/>
          <w:szCs w:val="32"/>
        </w:rPr>
        <w:t>（七）完善高质量癌症防治体系。</w:t>
      </w:r>
      <w:r>
        <w:rPr>
          <w:rFonts w:hint="eastAsia" w:ascii="仿宋_GB2312" w:hAnsi="仿宋_GB2312" w:eastAsia="仿宋_GB2312" w:cs="仿宋_GB2312"/>
          <w:color w:val="000000" w:themeColor="text1"/>
          <w:spacing w:val="2"/>
          <w:sz w:val="32"/>
          <w:szCs w:val="32"/>
          <w14:textFill>
            <w14:solidFill>
              <w14:schemeClr w14:val="tx1"/>
            </w14:solidFill>
          </w14:textFill>
        </w:rPr>
        <w:t>进一步加强癌症防治机构能力建设，到2030年，至少1家县级医疗机构设置癌症防治办公室，专业人员比例达到15%。依托现有</w:t>
      </w:r>
      <w:r>
        <w:rPr>
          <w:rFonts w:hint="eastAsia" w:ascii="仿宋_GB2312" w:hAnsi="仿宋_GB2312" w:eastAsia="仿宋_GB2312" w:cs="仿宋_GB2312"/>
          <w:spacing w:val="2"/>
          <w:sz w:val="32"/>
          <w:szCs w:val="32"/>
        </w:rPr>
        <w:t>资源，推动县级层面设立癌症专病防治机构。推动优质癌症防治资源扩容、下沉和均衡布局，通过疑难病症诊治能力提升工程、重点专科建设、城乡医院对口支援等，进一步提高基层癌症防治能力。加强县级医院肿瘤专科建设，提高癌症防治同质化水平。</w:t>
      </w:r>
      <w:r>
        <w:rPr>
          <w:rFonts w:hint="eastAsia" w:ascii="仿宋_GB2312" w:hAnsi="仿宋_GB2312" w:eastAsia="仿宋_GB2312" w:cs="仿宋_GB2312"/>
          <w:b/>
          <w:bCs/>
          <w:snapToGrid w:val="0"/>
          <w:color w:val="000000"/>
          <w:spacing w:val="2"/>
          <w:kern w:val="0"/>
          <w:sz w:val="32"/>
          <w:szCs w:val="32"/>
        </w:rPr>
        <w:t>（县卫健委牵头，县发展改革委配合）</w:t>
      </w:r>
    </w:p>
    <w:p w14:paraId="5E3CD760">
      <w:pPr>
        <w:pStyle w:val="3"/>
        <w:spacing w:after="0" w:line="540" w:lineRule="exact"/>
        <w:ind w:firstLine="655"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3"/>
          <w:sz w:val="32"/>
          <w:szCs w:val="32"/>
        </w:rPr>
        <w:t>（八）加强癌症防治机构协作。</w:t>
      </w:r>
      <w:r>
        <w:rPr>
          <w:rFonts w:hint="eastAsia" w:ascii="仿宋_GB2312" w:hAnsi="仿宋_GB2312" w:eastAsia="仿宋_GB2312" w:cs="仿宋_GB2312"/>
          <w:color w:val="000000" w:themeColor="text1"/>
          <w:spacing w:val="2"/>
          <w:sz w:val="32"/>
          <w:szCs w:val="32"/>
          <w14:textFill>
            <w14:solidFill>
              <w14:schemeClr w14:val="tx1"/>
            </w14:solidFill>
          </w14:textFill>
        </w:rPr>
        <w:t>充分发挥县人民医院肿瘤专科及县疾控中心作用，加强协同配合，进一步完善癌症防治协作网络。</w:t>
      </w:r>
      <w:r>
        <w:rPr>
          <w:rFonts w:hint="eastAsia" w:ascii="仿宋_GB2312" w:hAnsi="仿宋_GB2312" w:eastAsia="仿宋_GB2312" w:cs="仿宋_GB2312"/>
          <w:spacing w:val="2"/>
          <w:sz w:val="32"/>
          <w:szCs w:val="32"/>
        </w:rPr>
        <w:t>加强癌症防治技术支持、人才帮扶力度，探索推广适宜防治技术和服务模式，整体提升癌症防治水平。推动具备条件的二级及以上医院设置肿瘤科，能够开展癌症筛查和常见多发癌种的一般性诊疗。进一步加强癌症相关专科联盟等多种形式医联体建设。加强癌症危险因素监测、流行病学调查、人群干预、信息管理等。加强医防融合，强化各医疗卫生机构在宣传教育、健康咨询及指导、高危人群筛查、健康管理等方面的沟通协作。</w:t>
      </w:r>
      <w:r>
        <w:rPr>
          <w:rFonts w:hint="eastAsia" w:ascii="仿宋_GB2312" w:hAnsi="仿宋_GB2312" w:eastAsia="仿宋_GB2312" w:cs="仿宋_GB2312"/>
          <w:b/>
          <w:bCs/>
          <w:spacing w:val="2"/>
          <w:sz w:val="32"/>
          <w:szCs w:val="32"/>
        </w:rPr>
        <w:t>（县卫健委负责）</w:t>
      </w:r>
    </w:p>
    <w:p w14:paraId="5A1342C7">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（九）进一步提升肿瘤登记报告规范化、制度化程度。</w:t>
      </w:r>
      <w:r>
        <w:rPr>
          <w:rFonts w:hint="eastAsia" w:ascii="仿宋_GB2312" w:hAnsi="仿宋_GB2312" w:eastAsia="仿宋_GB2312" w:cs="仿宋_GB2312"/>
          <w:color w:val="000000" w:themeColor="text1"/>
          <w:spacing w:val="2"/>
          <w:sz w:val="32"/>
          <w:szCs w:val="32"/>
          <w14:textFill>
            <w14:solidFill>
              <w14:schemeClr w14:val="tx1"/>
            </w14:solidFill>
          </w14:textFill>
        </w:rPr>
        <w:t>充分发挥疾控机构与医疗机构协同配合作用，进一步完善我县肿瘤登记报告体系。县疾控中心加强肿瘤登记工作的组织实施，各医疗卫生机构履行肿瘤登记报告职责。健全肿瘤登记报告信息系统、质量控制标准和评价体系，提高报告效率及质量。</w:t>
      </w:r>
      <w:r>
        <w:rPr>
          <w:rFonts w:hint="eastAsia" w:ascii="仿宋_GB2312" w:hAnsi="仿宋_GB2312" w:eastAsia="仿宋_GB2312" w:cs="仿宋_GB2312"/>
          <w:b/>
          <w:bCs/>
          <w:color w:val="000000" w:themeColor="text1"/>
          <w:spacing w:val="2"/>
          <w:sz w:val="32"/>
          <w:szCs w:val="32"/>
          <w14:textFill>
            <w14:solidFill>
              <w14:schemeClr w14:val="tx1"/>
            </w14:solidFill>
          </w14:textFill>
        </w:rPr>
        <w:t>（</w:t>
      </w:r>
      <w:r>
        <w:rPr>
          <w:rFonts w:hint="eastAsia" w:ascii="仿宋_GB2312" w:hAnsi="仿宋_GB2312" w:eastAsia="仿宋_GB2312" w:cs="仿宋_GB2312"/>
          <w:b/>
          <w:bCs/>
          <w:spacing w:val="2"/>
          <w:sz w:val="32"/>
          <w:szCs w:val="32"/>
        </w:rPr>
        <w:t>县卫健委负责）</w:t>
      </w:r>
    </w:p>
    <w:p w14:paraId="4D04AA73">
      <w:pPr>
        <w:widowControl/>
        <w:kinsoku w:val="0"/>
        <w:autoSpaceDE w:val="0"/>
        <w:autoSpaceDN w:val="0"/>
        <w:adjustRightInd w:val="0"/>
        <w:snapToGrid w:val="0"/>
        <w:spacing w:line="540" w:lineRule="exact"/>
        <w:ind w:firstLine="663" w:firstLineChars="200"/>
        <w:textAlignment w:val="baseline"/>
        <w:rPr>
          <w:rFonts w:ascii="仿宋_GB2312" w:hAnsi="仿宋_GB2312" w:eastAsia="仿宋_GB2312" w:cs="仿宋_GB2312"/>
          <w:spacing w:val="2"/>
          <w:sz w:val="32"/>
          <w:szCs w:val="32"/>
        </w:rPr>
      </w:pPr>
      <w:r>
        <w:rPr>
          <w:rFonts w:hint="eastAsia" w:ascii="楷体_GB2312" w:hAnsi="楷体" w:eastAsia="楷体_GB2312" w:cs="楷体"/>
          <w:b/>
          <w:spacing w:val="5"/>
          <w:sz w:val="32"/>
          <w:szCs w:val="32"/>
        </w:rPr>
        <w:t>（十）促进癌症防治信息资源共享。</w:t>
      </w:r>
      <w:r>
        <w:rPr>
          <w:rFonts w:hint="eastAsia" w:ascii="仿宋_GB2312" w:hAnsi="仿宋_GB2312" w:eastAsia="仿宋_GB2312" w:cs="仿宋_GB2312"/>
          <w:spacing w:val="2"/>
          <w:sz w:val="32"/>
          <w:szCs w:val="32"/>
        </w:rPr>
        <w:t>逐步实现肿瘤登记信息与死因监测信息对接，优化数据采集报送方式。加强部门间信息资源共享，提升生存分析与发病死亡趋势预测能力。规范信息管理，保护患者隐私和信息安全。</w:t>
      </w:r>
      <w:r>
        <w:rPr>
          <w:rFonts w:hint="eastAsia" w:ascii="仿宋_GB2312" w:hAnsi="仿宋_GB2312" w:eastAsia="仿宋_GB2312" w:cs="仿宋_GB2312"/>
          <w:b/>
          <w:bCs/>
          <w:snapToGrid w:val="0"/>
          <w:color w:val="000000"/>
          <w:spacing w:val="2"/>
          <w:kern w:val="0"/>
          <w:sz w:val="32"/>
          <w:szCs w:val="32"/>
        </w:rPr>
        <w:t>（</w:t>
      </w:r>
      <w:r>
        <w:rPr>
          <w:rFonts w:hint="eastAsia" w:ascii="仿宋_GB2312" w:hAnsi="仿宋_GB2312" w:eastAsia="仿宋_GB2312" w:cs="仿宋_GB2312"/>
          <w:b/>
          <w:bCs/>
          <w:spacing w:val="2"/>
          <w:sz w:val="32"/>
          <w:szCs w:val="32"/>
        </w:rPr>
        <w:t>县卫健委负责</w:t>
      </w:r>
      <w:r>
        <w:rPr>
          <w:rFonts w:hint="eastAsia" w:ascii="仿宋_GB2312" w:hAnsi="仿宋_GB2312" w:eastAsia="仿宋_GB2312" w:cs="仿宋_GB2312"/>
          <w:b/>
          <w:bCs/>
          <w:snapToGrid w:val="0"/>
          <w:color w:val="000000"/>
          <w:spacing w:val="2"/>
          <w:kern w:val="0"/>
          <w:sz w:val="32"/>
          <w:szCs w:val="32"/>
        </w:rPr>
        <w:t>）</w:t>
      </w:r>
    </w:p>
    <w:p w14:paraId="4CFCBDB9">
      <w:pPr>
        <w:spacing w:line="540" w:lineRule="exact"/>
        <w:ind w:firstLine="672" w:firstLineChars="200"/>
        <w:rPr>
          <w:rFonts w:ascii="黑体" w:hAnsi="黑体" w:eastAsia="黑体" w:cs="黑体"/>
          <w:sz w:val="32"/>
          <w:szCs w:val="32"/>
        </w:rPr>
      </w:pPr>
      <w:r>
        <w:rPr>
          <w:rFonts w:hint="eastAsia" w:ascii="黑体" w:hAnsi="黑体" w:eastAsia="黑体" w:cs="黑体"/>
          <w:spacing w:val="8"/>
          <w:sz w:val="32"/>
          <w:szCs w:val="32"/>
        </w:rPr>
        <w:t>四、推广癌症早诊早治，强化筛查长效机制</w:t>
      </w:r>
    </w:p>
    <w:p w14:paraId="72145385">
      <w:pPr>
        <w:pStyle w:val="3"/>
        <w:spacing w:after="0" w:line="540" w:lineRule="exact"/>
        <w:ind w:firstLine="631" w:firstLineChars="200"/>
        <w:rPr>
          <w:rFonts w:ascii="仿宋_GB2312" w:hAnsi="仿宋_GB2312" w:eastAsia="仿宋_GB2312" w:cs="仿宋_GB2312"/>
          <w:spacing w:val="2"/>
          <w:sz w:val="32"/>
          <w:szCs w:val="32"/>
        </w:rPr>
      </w:pPr>
      <w:r>
        <w:rPr>
          <w:rFonts w:hint="eastAsia" w:ascii="楷体_GB2312" w:hAnsi="楷体" w:eastAsia="楷体_GB2312" w:cs="楷体"/>
          <w:b/>
          <w:spacing w:val="-3"/>
          <w:sz w:val="32"/>
          <w:szCs w:val="32"/>
        </w:rPr>
        <w:t>（十一）完善并推广重点癌症早诊早治指南。</w:t>
      </w:r>
      <w:r>
        <w:rPr>
          <w:rFonts w:hint="eastAsia" w:ascii="仿宋_GB2312" w:hAnsi="仿宋_GB2312" w:eastAsia="仿宋_GB2312" w:cs="仿宋_GB2312"/>
          <w:spacing w:val="2"/>
          <w:sz w:val="32"/>
          <w:szCs w:val="32"/>
        </w:rPr>
        <w:t>针对发病率高、筛查手段和技术方案相对成熟的胃癌、食管癌、结直肠癌、宫颈癌、乳腺癌、肺癌等重点癌症，组织完善筛查和早诊早治系列技术指南，并在全县推广应用，进一步提升癌症规范化防治水平。</w:t>
      </w:r>
      <w:r>
        <w:rPr>
          <w:rFonts w:hint="eastAsia" w:ascii="仿宋_GB2312" w:hAnsi="仿宋_GB2312" w:eastAsia="仿宋_GB2312" w:cs="仿宋_GB2312"/>
          <w:b/>
          <w:bCs/>
          <w:spacing w:val="2"/>
          <w:sz w:val="32"/>
          <w:szCs w:val="32"/>
        </w:rPr>
        <w:t>（县卫健委负责）</w:t>
      </w:r>
    </w:p>
    <w:p w14:paraId="7ED9D18C">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（十二）深入推进癌症早期筛查和早诊早治。</w:t>
      </w:r>
      <w:r>
        <w:rPr>
          <w:rFonts w:hint="eastAsia" w:ascii="仿宋_GB2312" w:hAnsi="仿宋_GB2312" w:eastAsia="仿宋_GB2312" w:cs="仿宋_GB2312"/>
          <w:spacing w:val="2"/>
          <w:sz w:val="32"/>
          <w:szCs w:val="32"/>
        </w:rPr>
        <w:t>针对高发、早期治疗成本效益好、筛查手段简便易行的癌症，逐步扩大筛查和早诊早治覆盖范围。优化癌症筛查管理模式，推动县级医院建设“癌症筛查和早诊早治中心”，进一步提高早期筛查和早诊早治能力。加强筛查与早诊早治的衔接，提高服务连续性，及时将筛查出的癌症患者转介到相关医疗机构，提高早诊早治效果。重点癌种早诊率持续提高，适龄妇女宫颈癌人群筛查率达到70%，乳腺癌人群筛查覆盖率逐步提高。</w:t>
      </w:r>
      <w:r>
        <w:rPr>
          <w:rFonts w:hint="eastAsia" w:ascii="仿宋_GB2312" w:hAnsi="仿宋_GB2312" w:eastAsia="仿宋_GB2312" w:cs="仿宋_GB2312"/>
          <w:b/>
          <w:bCs/>
          <w:spacing w:val="2"/>
          <w:sz w:val="32"/>
          <w:szCs w:val="32"/>
        </w:rPr>
        <w:t>（县卫健委牵头，县财政局配合）</w:t>
      </w:r>
    </w:p>
    <w:p w14:paraId="19962914">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（十三）构建分层癌症筛查体系。</w:t>
      </w:r>
      <w:r>
        <w:rPr>
          <w:rFonts w:hint="eastAsia" w:ascii="仿宋_GB2312" w:hAnsi="仿宋_GB2312" w:eastAsia="仿宋_GB2312" w:cs="仿宋_GB2312"/>
          <w:spacing w:val="2"/>
          <w:sz w:val="32"/>
          <w:szCs w:val="32"/>
        </w:rPr>
        <w:t>组织开展癌症机会性筛查，不断加大筛查力度、扩大覆盖范围。研究开发癌症风险评估有关工具并加强培训指导，基层医疗卫生机构逐步提供癌症风险评估服务，使居民知晓自身患癌风险。进一步加强防癌体检的规范化管理，引导高危人群定期接受防癌体检，加强疑似病例随访管理，针对早期癌症或癌前病变进行及时干预。</w:t>
      </w:r>
      <w:r>
        <w:rPr>
          <w:rFonts w:hint="eastAsia" w:ascii="仿宋_GB2312" w:hAnsi="仿宋_GB2312" w:eastAsia="仿宋_GB2312" w:cs="仿宋_GB2312"/>
          <w:b/>
          <w:bCs/>
          <w:spacing w:val="2"/>
          <w:sz w:val="32"/>
          <w:szCs w:val="32"/>
        </w:rPr>
        <w:t>（县卫健委负责）</w:t>
      </w:r>
    </w:p>
    <w:p w14:paraId="45EA56C5">
      <w:pPr>
        <w:spacing w:line="540" w:lineRule="exact"/>
        <w:ind w:firstLine="672" w:firstLineChars="200"/>
      </w:pPr>
      <w:r>
        <w:rPr>
          <w:rFonts w:hint="eastAsia" w:ascii="黑体" w:hAnsi="黑体" w:eastAsia="黑体" w:cs="黑体"/>
          <w:spacing w:val="8"/>
          <w:sz w:val="32"/>
          <w:szCs w:val="32"/>
        </w:rPr>
        <w:t>五、规范癌症诊疗，提升管理服务水平</w:t>
      </w:r>
    </w:p>
    <w:p w14:paraId="7863B517">
      <w:pPr>
        <w:pStyle w:val="3"/>
        <w:spacing w:after="0" w:line="540" w:lineRule="exact"/>
        <w:ind w:firstLine="663" w:firstLineChars="200"/>
        <w:rPr>
          <w:rFonts w:ascii="仿宋_GB2312" w:hAnsi="仿宋_GB2312" w:eastAsia="仿宋_GB2312" w:cs="仿宋_GB2312"/>
          <w:spacing w:val="2"/>
          <w:sz w:val="32"/>
          <w:szCs w:val="32"/>
        </w:rPr>
      </w:pPr>
      <w:r>
        <w:rPr>
          <w:rFonts w:hint="eastAsia" w:ascii="楷体_GB2312" w:hAnsi="楷体" w:eastAsia="楷体_GB2312" w:cs="楷体"/>
          <w:b/>
          <w:spacing w:val="5"/>
          <w:sz w:val="32"/>
          <w:szCs w:val="32"/>
        </w:rPr>
        <w:t>（十四）加强诊疗规范化管理。</w:t>
      </w:r>
      <w:r>
        <w:rPr>
          <w:rFonts w:hint="eastAsia" w:ascii="仿宋_GB2312" w:hAnsi="仿宋_GB2312" w:eastAsia="仿宋_GB2312" w:cs="仿宋_GB2312"/>
          <w:spacing w:val="2"/>
          <w:sz w:val="32"/>
          <w:szCs w:val="32"/>
        </w:rPr>
        <w:t>进一步完善癌症临床诊疗指南、技术操作规范、临床路径。加强抗肿瘤药物临床应用管理，完善全县抗肿瘤药物临床应用监测网络建设，开展肿瘤用药监测与评价。优化用药指南，完善处方点评和结果公示制度。做好患者康复指导、疼痛管理、长期护理和营养、心理支持。</w:t>
      </w:r>
      <w:r>
        <w:rPr>
          <w:rFonts w:hint="eastAsia" w:ascii="仿宋_GB2312" w:hAnsi="仿宋_GB2312" w:eastAsia="仿宋_GB2312" w:cs="仿宋_GB2312"/>
          <w:b/>
          <w:bCs/>
          <w:spacing w:val="2"/>
          <w:sz w:val="32"/>
          <w:szCs w:val="32"/>
        </w:rPr>
        <w:t>（县卫健委负责）</w:t>
      </w:r>
    </w:p>
    <w:p w14:paraId="42445247">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（十五）加强诊疗质量控制。</w:t>
      </w:r>
      <w:r>
        <w:rPr>
          <w:rFonts w:hint="eastAsia" w:ascii="仿宋_GB2312" w:hAnsi="仿宋_GB2312" w:eastAsia="仿宋_GB2312" w:cs="仿宋_GB2312"/>
          <w:color w:val="000000" w:themeColor="text1"/>
          <w:spacing w:val="2"/>
          <w:sz w:val="32"/>
          <w:szCs w:val="32"/>
          <w14:textFill>
            <w14:solidFill>
              <w14:schemeClr w14:val="tx1"/>
            </w14:solidFill>
          </w14:textFill>
        </w:rPr>
        <w:t>巩固完善县级肿瘤诊疗质控管理体系，开展肿瘤单病种诊疗质量控制工作。通过肿瘤诊疗相关质量信息的系统收集、分析及反馈，对肿瘤诊疗</w:t>
      </w:r>
      <w:r>
        <w:rPr>
          <w:rFonts w:hint="eastAsia" w:ascii="仿宋_GB2312" w:hAnsi="仿宋_GB2312" w:eastAsia="仿宋_GB2312" w:cs="仿宋_GB2312"/>
          <w:spacing w:val="2"/>
          <w:sz w:val="32"/>
          <w:szCs w:val="32"/>
        </w:rPr>
        <w:t>质量相关指标进行持续性监测，促进肿瘤诊疗质量持续改进。</w:t>
      </w:r>
      <w:r>
        <w:rPr>
          <w:rFonts w:hint="eastAsia" w:ascii="仿宋_GB2312" w:hAnsi="仿宋_GB2312" w:eastAsia="仿宋_GB2312" w:cs="仿宋_GB2312"/>
          <w:b/>
          <w:bCs/>
          <w:spacing w:val="2"/>
          <w:sz w:val="32"/>
          <w:szCs w:val="32"/>
        </w:rPr>
        <w:t>（县卫健委负责）</w:t>
      </w:r>
    </w:p>
    <w:p w14:paraId="4ABAF68C">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（十六）优化诊疗模式。</w:t>
      </w:r>
      <w:r>
        <w:rPr>
          <w:rFonts w:hint="eastAsia" w:ascii="仿宋_GB2312" w:hAnsi="仿宋_GB2312" w:eastAsia="仿宋_GB2312" w:cs="仿宋_GB2312"/>
          <w:spacing w:val="2"/>
          <w:sz w:val="32"/>
          <w:szCs w:val="32"/>
        </w:rPr>
        <w:t>持续推进多学科诊疗模式，提升癌症相关临床专科能力，探索以癌症病种为单元的专病中心建设，积极运用互联网、人工智能等技术，开展远程医疗服务，提高基层诊疗能力。</w:t>
      </w:r>
      <w:r>
        <w:rPr>
          <w:rFonts w:hint="eastAsia" w:ascii="仿宋_GB2312" w:hAnsi="仿宋_GB2312" w:eastAsia="仿宋_GB2312" w:cs="仿宋_GB2312"/>
          <w:b/>
          <w:bCs/>
          <w:spacing w:val="2"/>
          <w:sz w:val="32"/>
          <w:szCs w:val="32"/>
        </w:rPr>
        <w:t>（县卫健委负责）</w:t>
      </w:r>
    </w:p>
    <w:p w14:paraId="1692B120">
      <w:pPr>
        <w:spacing w:line="540" w:lineRule="exact"/>
        <w:ind w:firstLine="672" w:firstLineChars="200"/>
        <w:rPr>
          <w:rFonts w:ascii="仿宋" w:hAnsi="仿宋" w:eastAsia="仿宋" w:cs="仿宋"/>
          <w:sz w:val="32"/>
          <w:szCs w:val="32"/>
        </w:rPr>
      </w:pPr>
      <w:r>
        <w:rPr>
          <w:rFonts w:hint="eastAsia" w:ascii="黑体" w:hAnsi="黑体" w:eastAsia="黑体" w:cs="黑体"/>
          <w:spacing w:val="8"/>
          <w:sz w:val="32"/>
          <w:szCs w:val="32"/>
        </w:rPr>
        <w:t>六、促进中西医结合创新，发挥中医药独特作用</w:t>
      </w:r>
    </w:p>
    <w:p w14:paraId="6CF2A31B">
      <w:pPr>
        <w:pStyle w:val="3"/>
        <w:spacing w:after="0" w:line="540" w:lineRule="exact"/>
        <w:ind w:firstLine="663"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5"/>
          <w:sz w:val="32"/>
          <w:szCs w:val="32"/>
        </w:rPr>
        <w:t>（十七）加强癌症中医药防治网络建设。</w:t>
      </w:r>
      <w:r>
        <w:rPr>
          <w:rFonts w:hint="eastAsia" w:ascii="仿宋_GB2312" w:hAnsi="仿宋_GB2312" w:eastAsia="仿宋_GB2312" w:cs="仿宋_GB2312"/>
          <w:spacing w:val="2"/>
          <w:sz w:val="32"/>
          <w:szCs w:val="32"/>
        </w:rPr>
        <w:t>进一步完善中医癌症防治服务体系，构建中西医结合癌症防治网络。加强中医医院肿瘤科建设，支持综合医院提供癌症中医药诊疗服务，将癌症中医药防治纳入基层医疗机构服务范围。</w:t>
      </w:r>
      <w:r>
        <w:rPr>
          <w:rFonts w:hint="eastAsia" w:ascii="仿宋_GB2312" w:hAnsi="仿宋_GB2312" w:eastAsia="仿宋_GB2312" w:cs="仿宋_GB2312"/>
          <w:b/>
          <w:bCs/>
          <w:spacing w:val="2"/>
          <w:sz w:val="32"/>
          <w:szCs w:val="32"/>
        </w:rPr>
        <w:t>（县卫健委负责）</w:t>
      </w:r>
    </w:p>
    <w:p w14:paraId="1FEDF486">
      <w:pPr>
        <w:kinsoku w:val="0"/>
        <w:autoSpaceDE w:val="0"/>
        <w:autoSpaceDN w:val="0"/>
        <w:spacing w:line="540" w:lineRule="exact"/>
        <w:ind w:firstLine="663" w:firstLineChars="200"/>
        <w:rPr>
          <w:sz w:val="32"/>
          <w:szCs w:val="32"/>
        </w:rPr>
      </w:pPr>
      <w:r>
        <w:rPr>
          <w:rFonts w:hint="eastAsia" w:ascii="楷体_GB2312" w:hAnsi="楷体" w:eastAsia="楷体_GB2312" w:cs="楷体"/>
          <w:b/>
          <w:spacing w:val="5"/>
          <w:sz w:val="32"/>
          <w:szCs w:val="32"/>
        </w:rPr>
        <w:t>（十八）提升癌症中医药防治能力。</w:t>
      </w:r>
      <w:r>
        <w:rPr>
          <w:rFonts w:hint="eastAsia" w:ascii="仿宋_GB2312" w:hAnsi="仿宋_GB2312" w:eastAsia="仿宋_GB2312" w:cs="仿宋_GB2312"/>
          <w:spacing w:val="2"/>
          <w:sz w:val="32"/>
          <w:szCs w:val="32"/>
        </w:rPr>
        <w:t>制订完善癌症中医药防治技术方案，推广应用成熟的癌症中医药防治技术方法，探索符合中医理论的癌症诊疗模式，培养癌症中医药防治专业人才。加快推进肿瘤中医诊疗质控工作，提高中医药癌症防治的标准化和同质化水平。扩大癌症中西医临床协作，探索中西医结合防治癌症的新思路、新方法和新模式，形成并推广中西医结合诊疗方案。在肿瘤多学科诊疗工作中，规范开展中医药治疗，发挥我县中医药的独特作用和优势。</w:t>
      </w:r>
      <w:r>
        <w:rPr>
          <w:rFonts w:hint="eastAsia" w:ascii="仿宋_GB2312" w:hAnsi="仿宋_GB2312" w:eastAsia="仿宋_GB2312" w:cs="仿宋_GB2312"/>
          <w:b/>
          <w:bCs/>
          <w:snapToGrid w:val="0"/>
          <w:color w:val="000000"/>
          <w:spacing w:val="2"/>
          <w:kern w:val="0"/>
          <w:sz w:val="32"/>
          <w:szCs w:val="32"/>
        </w:rPr>
        <w:t>（</w:t>
      </w:r>
      <w:r>
        <w:rPr>
          <w:rFonts w:hint="eastAsia" w:ascii="仿宋_GB2312" w:hAnsi="仿宋_GB2312" w:eastAsia="仿宋_GB2312" w:cs="仿宋_GB2312"/>
          <w:b/>
          <w:bCs/>
          <w:spacing w:val="2"/>
          <w:sz w:val="32"/>
          <w:szCs w:val="32"/>
        </w:rPr>
        <w:t>县卫健委负责</w:t>
      </w:r>
      <w:r>
        <w:rPr>
          <w:rFonts w:hint="eastAsia" w:ascii="仿宋_GB2312" w:hAnsi="仿宋_GB2312" w:eastAsia="仿宋_GB2312" w:cs="仿宋_GB2312"/>
          <w:b/>
          <w:bCs/>
          <w:snapToGrid w:val="0"/>
          <w:color w:val="000000"/>
          <w:spacing w:val="2"/>
          <w:kern w:val="0"/>
          <w:sz w:val="32"/>
          <w:szCs w:val="32"/>
        </w:rPr>
        <w:t>）</w:t>
      </w:r>
    </w:p>
    <w:p w14:paraId="7AC6C906">
      <w:pPr>
        <w:pStyle w:val="3"/>
        <w:spacing w:after="0" w:line="540" w:lineRule="exact"/>
        <w:ind w:firstLine="655" w:firstLineChars="200"/>
        <w:rPr>
          <w:rFonts w:ascii="仿宋_GB2312" w:hAnsi="仿宋_GB2312" w:eastAsia="仿宋_GB2312" w:cs="仿宋_GB2312"/>
          <w:b/>
          <w:bCs/>
          <w:spacing w:val="2"/>
          <w:sz w:val="32"/>
          <w:szCs w:val="32"/>
        </w:rPr>
      </w:pPr>
      <w:r>
        <w:rPr>
          <w:rFonts w:hint="eastAsia" w:ascii="楷体_GB2312" w:hAnsi="楷体" w:eastAsia="楷体_GB2312" w:cs="楷体"/>
          <w:b/>
          <w:spacing w:val="3"/>
          <w:sz w:val="32"/>
          <w:szCs w:val="32"/>
        </w:rPr>
        <w:t>（十九）强化癌症中医药预防及早期干预。</w:t>
      </w:r>
      <w:r>
        <w:rPr>
          <w:rFonts w:hint="eastAsia" w:ascii="仿宋_GB2312" w:hAnsi="仿宋_GB2312" w:eastAsia="仿宋_GB2312" w:cs="仿宋_GB2312"/>
          <w:spacing w:val="2"/>
          <w:sz w:val="32"/>
          <w:szCs w:val="32"/>
        </w:rPr>
        <w:t>发挥中医“治未病”作用，研究梳理中医药防癌知识并纳入基本公共卫生健康教育项目服务内容。综合运用现代诊疗技术和中医体质辨识等方法，早期发现高危人群，推广中医治未病干预指南，积极开展癌前病变人群的中西医综合干预。</w:t>
      </w:r>
      <w:r>
        <w:rPr>
          <w:rFonts w:hint="eastAsia" w:ascii="仿宋_GB2312" w:hAnsi="仿宋_GB2312" w:eastAsia="仿宋_GB2312" w:cs="仿宋_GB2312"/>
          <w:b/>
          <w:bCs/>
          <w:spacing w:val="2"/>
          <w:sz w:val="32"/>
          <w:szCs w:val="32"/>
        </w:rPr>
        <w:t>（县卫健委负责）</w:t>
      </w:r>
    </w:p>
    <w:p w14:paraId="1AF07414">
      <w:pPr>
        <w:pStyle w:val="3"/>
        <w:spacing w:after="0" w:line="540" w:lineRule="exact"/>
        <w:ind w:firstLine="655" w:firstLineChars="200"/>
        <w:rPr>
          <w:rFonts w:ascii="仿宋_GB2312" w:hAnsi="仿宋_GB2312" w:eastAsia="仿宋_GB2312" w:cs="仿宋_GB2312"/>
          <w:spacing w:val="2"/>
          <w:sz w:val="32"/>
          <w:szCs w:val="32"/>
        </w:rPr>
      </w:pPr>
      <w:r>
        <w:rPr>
          <w:rFonts w:hint="eastAsia" w:ascii="楷体_GB2312" w:hAnsi="楷体" w:eastAsia="楷体_GB2312" w:cs="楷体"/>
          <w:b/>
          <w:spacing w:val="3"/>
          <w:sz w:val="32"/>
          <w:szCs w:val="32"/>
        </w:rPr>
        <w:t>（二十）加强综合医疗救治。</w:t>
      </w:r>
      <w:r>
        <w:rPr>
          <w:rFonts w:hint="eastAsia" w:ascii="仿宋_GB2312" w:hAnsi="仿宋_GB2312" w:eastAsia="仿宋_GB2312" w:cs="仿宋_GB2312"/>
          <w:spacing w:val="2"/>
          <w:sz w:val="32"/>
          <w:szCs w:val="32"/>
        </w:rPr>
        <w:t>按规定落实癌症患者医疗保障待遇。鼓励有资质的商业保险机构推广癌症防治相关商业健康保险产品，引导公益慈善组织积极开展癌症患者医疗扶助。</w:t>
      </w:r>
      <w:r>
        <w:rPr>
          <w:rFonts w:hint="eastAsia" w:ascii="仿宋_GB2312" w:hAnsi="仿宋_GB2312" w:eastAsia="仿宋_GB2312" w:cs="仿宋_GB2312"/>
          <w:b/>
          <w:bCs/>
          <w:spacing w:val="2"/>
          <w:sz w:val="32"/>
          <w:szCs w:val="32"/>
        </w:rPr>
        <w:t>（赣州市医疗保障局信丰分局、县民政局、县卫健委及有关部门负责）</w:t>
      </w:r>
    </w:p>
    <w:p w14:paraId="43F7F39C">
      <w:pPr>
        <w:widowControl/>
        <w:adjustRightInd w:val="0"/>
        <w:snapToGrid w:val="0"/>
        <w:spacing w:line="540" w:lineRule="exact"/>
        <w:ind w:firstLine="659" w:firstLineChars="200"/>
        <w:textAlignment w:val="baseline"/>
        <w:rPr>
          <w:rFonts w:ascii="仿宋_GB2312" w:hAnsi="仿宋_GB2312" w:eastAsia="仿宋_GB2312" w:cs="仿宋_GB2312"/>
          <w:spacing w:val="2"/>
          <w:sz w:val="32"/>
          <w:szCs w:val="32"/>
        </w:rPr>
      </w:pPr>
      <w:r>
        <w:rPr>
          <w:rFonts w:hint="eastAsia" w:ascii="楷体_GB2312" w:hAnsi="楷体" w:eastAsia="楷体_GB2312" w:cs="楷体"/>
          <w:b/>
          <w:spacing w:val="4"/>
          <w:sz w:val="32"/>
          <w:szCs w:val="32"/>
        </w:rPr>
        <w:t>(二十一)提高抗肿瘤药物可及性。</w:t>
      </w:r>
      <w:r>
        <w:rPr>
          <w:rFonts w:hint="eastAsia" w:ascii="仿宋_GB2312" w:hAnsi="仿宋_GB2312" w:eastAsia="仿宋_GB2312" w:cs="仿宋_GB2312"/>
          <w:spacing w:val="2"/>
          <w:sz w:val="32"/>
          <w:szCs w:val="32"/>
        </w:rPr>
        <w:t>提高抗肿瘤药物可及性。建立完善抗肿瘤药物临床综合评价体系</w:t>
      </w:r>
      <w:r>
        <w:rPr>
          <w:rFonts w:hint="eastAsia" w:ascii="仿宋_GB2312" w:hAnsi="仿宋_GB2312" w:eastAsia="仿宋_GB2312" w:cs="仿宋_GB2312"/>
          <w:color w:val="000000" w:themeColor="text1"/>
          <w:spacing w:val="2"/>
          <w:sz w:val="32"/>
          <w:szCs w:val="32"/>
          <w14:textFill>
            <w14:solidFill>
              <w14:schemeClr w14:val="tx1"/>
            </w14:solidFill>
          </w14:textFill>
        </w:rPr>
        <w:t>。鼓励仿制临床必需的抗肿瘤药物，按程序纳入鼓励仿制药品目录，引导企业研发、注册和生产。根</w:t>
      </w:r>
      <w:r>
        <w:rPr>
          <w:rFonts w:hint="eastAsia" w:ascii="仿宋_GB2312" w:hAnsi="仿宋_GB2312" w:eastAsia="仿宋_GB2312" w:cs="仿宋_GB2312"/>
          <w:spacing w:val="2"/>
          <w:sz w:val="32"/>
          <w:szCs w:val="32"/>
        </w:rPr>
        <w:t>据国家医保药品目录调整情况，动态更新我县医保药品目录，适时纳入药品集中采购，保障临床用药需求，降低患者用药负担。</w:t>
      </w:r>
      <w:r>
        <w:rPr>
          <w:rFonts w:hint="eastAsia" w:ascii="仿宋_GB2312" w:hAnsi="仿宋_GB2312" w:eastAsia="仿宋_GB2312" w:cs="仿宋_GB2312"/>
          <w:b/>
          <w:bCs/>
          <w:snapToGrid w:val="0"/>
          <w:color w:val="000000"/>
          <w:spacing w:val="2"/>
          <w:kern w:val="0"/>
          <w:sz w:val="32"/>
          <w:szCs w:val="32"/>
        </w:rPr>
        <w:t>(县市场监督管理局、赣州市医疗保障局信丰分局、县卫健委分别负责)</w:t>
      </w:r>
    </w:p>
    <w:p w14:paraId="1D6F343C">
      <w:pPr>
        <w:pStyle w:val="3"/>
        <w:spacing w:after="0" w:line="540" w:lineRule="exact"/>
        <w:ind w:firstLine="651" w:firstLineChars="200"/>
        <w:rPr>
          <w:sz w:val="32"/>
          <w:szCs w:val="32"/>
        </w:rPr>
      </w:pPr>
      <w:r>
        <w:rPr>
          <w:rFonts w:hint="eastAsia" w:ascii="楷体_GB2312" w:hAnsi="楷体" w:eastAsia="楷体_GB2312" w:cs="楷体"/>
          <w:b/>
          <w:spacing w:val="2"/>
          <w:sz w:val="32"/>
          <w:szCs w:val="32"/>
        </w:rPr>
        <w:t>（二十二）加强脱贫人员癌症防治工作。</w:t>
      </w:r>
      <w:r>
        <w:rPr>
          <w:rFonts w:hint="eastAsia" w:ascii="仿宋_GB2312" w:hAnsi="仿宋_GB2312" w:eastAsia="仿宋_GB2312" w:cs="仿宋_GB2312"/>
          <w:spacing w:val="2"/>
          <w:sz w:val="32"/>
          <w:szCs w:val="32"/>
        </w:rPr>
        <w:t>完善防止返贫动态监测和帮扶机制，将因病返贫致贫风险人口纳入监测帮扶范围，落实各项救治和医保政策，加强癌症筛查和重点癌症救治。</w:t>
      </w:r>
      <w:r>
        <w:rPr>
          <w:rFonts w:hint="eastAsia" w:ascii="仿宋_GB2312" w:hAnsi="仿宋_GB2312" w:eastAsia="仿宋_GB2312" w:cs="仿宋_GB2312"/>
          <w:b/>
          <w:bCs/>
          <w:spacing w:val="2"/>
          <w:sz w:val="32"/>
          <w:szCs w:val="32"/>
        </w:rPr>
        <w:t>（县卫健委、县农业农村局、赣州市医疗保障局信丰分局分别负责，各有关部门配合）</w:t>
      </w:r>
    </w:p>
    <w:p w14:paraId="5A740AE1">
      <w:pPr>
        <w:autoSpaceDE w:val="0"/>
        <w:autoSpaceDN w:val="0"/>
        <w:adjustRightInd w:val="0"/>
        <w:snapToGrid w:val="0"/>
        <w:spacing w:line="54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七、加快重大科技攻关，推广创新成果转化</w:t>
      </w:r>
    </w:p>
    <w:p w14:paraId="03F11C49">
      <w:pPr>
        <w:autoSpaceDE w:val="0"/>
        <w:autoSpaceDN w:val="0"/>
        <w:adjustRightInd w:val="0"/>
        <w:snapToGrid w:val="0"/>
        <w:spacing w:line="540" w:lineRule="exact"/>
        <w:ind w:firstLine="659" w:firstLineChars="200"/>
        <w:textAlignment w:val="baseline"/>
        <w:rPr>
          <w:rFonts w:ascii="仿宋_GB2312" w:hAnsi="仿宋_GB2312" w:eastAsia="仿宋_GB2312" w:cs="仿宋_GB2312"/>
          <w:b/>
          <w:bCs/>
          <w:snapToGrid w:val="0"/>
          <w:color w:val="000000"/>
          <w:spacing w:val="2"/>
          <w:kern w:val="0"/>
          <w:sz w:val="32"/>
          <w:szCs w:val="32"/>
        </w:rPr>
      </w:pPr>
      <w:r>
        <w:rPr>
          <w:rFonts w:hint="eastAsia" w:ascii="楷体_GB2312" w:hAnsi="楷体" w:eastAsia="楷体_GB2312" w:cs="楷体"/>
          <w:b/>
          <w:spacing w:val="4"/>
          <w:sz w:val="32"/>
          <w:szCs w:val="32"/>
        </w:rPr>
        <w:t>（二十三）加强癌症相关学科专业建设。</w:t>
      </w:r>
      <w:r>
        <w:rPr>
          <w:rFonts w:hint="eastAsia" w:ascii="仿宋_GB2312" w:hAnsi="仿宋_GB2312" w:eastAsia="仿宋_GB2312" w:cs="仿宋_GB2312"/>
          <w:snapToGrid w:val="0"/>
          <w:color w:val="000000"/>
          <w:spacing w:val="2"/>
          <w:kern w:val="0"/>
          <w:sz w:val="32"/>
          <w:szCs w:val="32"/>
        </w:rPr>
        <w:t>完善人才教育结构，健全多层次的癌症防治人才培养体系。调整优化癌症相关学科专业设置，重点培养多学科复合型人才和领军型人才，促进相关领域学科交叉融合。适当增加癌症放化疗、影像、病理、预防、护理、康复、安宁疗护以及儿童肿瘤等领域的专业招生计划和专业人才培养。强化医疗卫生人员癌症防治知识技能的掌握。</w:t>
      </w:r>
      <w:r>
        <w:rPr>
          <w:rFonts w:hint="eastAsia" w:ascii="仿宋_GB2312" w:hAnsi="仿宋_GB2312" w:eastAsia="仿宋_GB2312" w:cs="仿宋_GB2312"/>
          <w:b/>
          <w:bCs/>
          <w:snapToGrid w:val="0"/>
          <w:color w:val="000000"/>
          <w:spacing w:val="2"/>
          <w:kern w:val="0"/>
          <w:sz w:val="32"/>
          <w:szCs w:val="32"/>
        </w:rPr>
        <w:t>（县教体局、县发展改革委、县卫健委牵头，各有关部门配合）</w:t>
      </w:r>
    </w:p>
    <w:p w14:paraId="51ADEDAA">
      <w:pPr>
        <w:widowControl/>
        <w:adjustRightInd w:val="0"/>
        <w:snapToGrid w:val="0"/>
        <w:spacing w:line="540" w:lineRule="exact"/>
        <w:ind w:firstLine="723" w:firstLineChars="200"/>
        <w:textAlignment w:val="baseline"/>
        <w:rPr>
          <w:rFonts w:ascii="仿宋_GB2312" w:hAnsi="仿宋_GB2312" w:eastAsia="仿宋_GB2312" w:cs="仿宋_GB2312"/>
          <w:b/>
          <w:bCs/>
          <w:snapToGrid w:val="0"/>
          <w:color w:val="000000"/>
          <w:spacing w:val="2"/>
          <w:kern w:val="0"/>
          <w:sz w:val="32"/>
          <w:szCs w:val="32"/>
        </w:rPr>
      </w:pPr>
      <w:r>
        <w:rPr>
          <w:rFonts w:hint="eastAsia" w:ascii="楷体_GB2312" w:hAnsi="仿宋" w:eastAsia="楷体_GB2312" w:cs="仿宋"/>
          <w:b/>
          <w:bCs/>
          <w:spacing w:val="20"/>
          <w:sz w:val="32"/>
          <w:szCs w:val="32"/>
        </w:rPr>
        <w:t>（二十四）集中力量加快科研攻关。</w:t>
      </w:r>
      <w:r>
        <w:rPr>
          <w:rFonts w:hint="eastAsia" w:ascii="仿宋_GB2312" w:hAnsi="仿宋_GB2312" w:eastAsia="仿宋_GB2312" w:cs="仿宋_GB2312"/>
          <w:snapToGrid w:val="0"/>
          <w:color w:val="000000"/>
          <w:spacing w:val="2"/>
          <w:kern w:val="0"/>
          <w:sz w:val="32"/>
          <w:szCs w:val="32"/>
        </w:rPr>
        <w:t>在县科技计划中进一步针对薄弱环节加强科技创新。以支撑癌症防治等关键技术突破为重点，以“精准、再生、智慧”为主攻方向，加强癌症防治关键技术创新，积极参与国家癌症防治关键技术攻关。加强癌症相关先进诊疗技术、临床指南规范、筛查方案等的科技示范，加快推动科技创新服务的普惠化。同时，加强中医药防治癌症科学研究</w:t>
      </w:r>
      <w:r>
        <w:rPr>
          <w:rFonts w:hint="eastAsia" w:ascii="仿宋_GB2312" w:hAnsi="仿宋_GB2312" w:eastAsia="仿宋_GB2312" w:cs="仿宋_GB2312"/>
          <w:snapToGrid w:val="0"/>
          <w:color w:val="000000" w:themeColor="text1"/>
          <w:spacing w:val="2"/>
          <w:kern w:val="0"/>
          <w:sz w:val="32"/>
          <w:szCs w:val="32"/>
          <w14:textFill>
            <w14:solidFill>
              <w14:schemeClr w14:val="tx1"/>
            </w14:solidFill>
          </w14:textFill>
        </w:rPr>
        <w:t>，组织开展中医药及中西医结合治疗癌症循证评价研究</w:t>
      </w:r>
      <w:r>
        <w:rPr>
          <w:rFonts w:hint="eastAsia" w:ascii="仿宋_GB2312" w:hAnsi="仿宋_GB2312" w:eastAsia="仿宋_GB2312" w:cs="仿宋_GB2312"/>
          <w:snapToGrid w:val="0"/>
          <w:color w:val="4F81BD" w:themeColor="accent1"/>
          <w:spacing w:val="2"/>
          <w:kern w:val="0"/>
          <w:sz w:val="32"/>
          <w:szCs w:val="32"/>
          <w14:textFill>
            <w14:solidFill>
              <w14:schemeClr w14:val="accent1"/>
            </w14:solidFill>
          </w14:textFill>
        </w:rPr>
        <w:t>。</w:t>
      </w:r>
      <w:r>
        <w:rPr>
          <w:rFonts w:hint="eastAsia" w:ascii="仿宋_GB2312" w:hAnsi="仿宋_GB2312" w:eastAsia="仿宋_GB2312" w:cs="仿宋_GB2312"/>
          <w:snapToGrid w:val="0"/>
          <w:color w:val="000000"/>
          <w:spacing w:val="2"/>
          <w:kern w:val="0"/>
          <w:sz w:val="32"/>
          <w:szCs w:val="32"/>
        </w:rPr>
        <w:t>支持癌症防治中药制剂、中药新药及中医诊疗设备的研发及转化应用</w:t>
      </w:r>
      <w:r>
        <w:rPr>
          <w:rFonts w:hint="eastAsia" w:ascii="仿宋" w:hAnsi="仿宋" w:eastAsia="仿宋" w:cs="仿宋"/>
          <w:spacing w:val="16"/>
          <w:sz w:val="32"/>
          <w:szCs w:val="32"/>
        </w:rPr>
        <w:t>。</w:t>
      </w:r>
      <w:r>
        <w:rPr>
          <w:rFonts w:hint="eastAsia" w:ascii="仿宋_GB2312" w:hAnsi="仿宋_GB2312" w:eastAsia="仿宋_GB2312" w:cs="仿宋_GB2312"/>
          <w:b/>
          <w:bCs/>
          <w:snapToGrid w:val="0"/>
          <w:color w:val="000000"/>
          <w:spacing w:val="2"/>
          <w:kern w:val="0"/>
          <w:sz w:val="32"/>
          <w:szCs w:val="32"/>
        </w:rPr>
        <w:t>（县科技局牵头，县卫健委配合）</w:t>
      </w:r>
    </w:p>
    <w:p w14:paraId="6549BADC">
      <w:pPr>
        <w:autoSpaceDE w:val="0"/>
        <w:autoSpaceDN w:val="0"/>
        <w:adjustRightInd w:val="0"/>
        <w:snapToGrid w:val="0"/>
        <w:spacing w:line="540" w:lineRule="exact"/>
        <w:ind w:firstLine="699" w:firstLineChars="200"/>
        <w:textAlignment w:val="baseline"/>
        <w:rPr>
          <w:rFonts w:ascii="仿宋" w:hAnsi="仿宋" w:eastAsia="仿宋" w:cs="仿宋"/>
          <w:color w:val="000000" w:themeColor="text1"/>
          <w:spacing w:val="8"/>
          <w:sz w:val="32"/>
          <w:szCs w:val="32"/>
          <w14:textFill>
            <w14:solidFill>
              <w14:schemeClr w14:val="tx1"/>
            </w14:solidFill>
          </w14:textFill>
        </w:rPr>
      </w:pPr>
      <w:r>
        <w:rPr>
          <w:rFonts w:hint="eastAsia" w:ascii="楷体_GB2312" w:hAnsi="仿宋" w:eastAsia="楷体_GB2312" w:cs="仿宋"/>
          <w:b/>
          <w:bCs/>
          <w:spacing w:val="14"/>
          <w:sz w:val="32"/>
          <w:szCs w:val="32"/>
        </w:rPr>
        <w:t>（二十五）</w:t>
      </w:r>
      <w:r>
        <w:rPr>
          <w:rFonts w:hint="eastAsia" w:ascii="楷体_GB2312" w:hAnsi="仿宋" w:eastAsia="楷体_GB2312" w:cs="仿宋"/>
          <w:b/>
          <w:bCs/>
          <w:color w:val="000000" w:themeColor="text1"/>
          <w:spacing w:val="14"/>
          <w:sz w:val="32"/>
          <w:szCs w:val="32"/>
          <w14:textFill>
            <w14:solidFill>
              <w14:schemeClr w14:val="tx1"/>
            </w14:solidFill>
          </w14:textFill>
        </w:rPr>
        <w:t>加强癌症防治科研成果的推广应用。</w:t>
      </w:r>
      <w:r>
        <w:rPr>
          <w:rFonts w:hint="eastAsia" w:ascii="仿宋" w:hAnsi="仿宋" w:eastAsia="仿宋" w:cs="仿宋"/>
          <w:color w:val="000000" w:themeColor="text1"/>
          <w:spacing w:val="14"/>
          <w:sz w:val="32"/>
          <w:szCs w:val="32"/>
          <w14:textFill>
            <w14:solidFill>
              <w14:schemeClr w14:val="tx1"/>
            </w14:solidFill>
          </w14:textFill>
        </w:rPr>
        <w:t>加快基础</w:t>
      </w:r>
      <w:r>
        <w:rPr>
          <w:rFonts w:hint="eastAsia" w:ascii="仿宋" w:hAnsi="仿宋" w:eastAsia="仿宋" w:cs="仿宋"/>
          <w:color w:val="000000" w:themeColor="text1"/>
          <w:spacing w:val="9"/>
          <w:sz w:val="32"/>
          <w:szCs w:val="32"/>
          <w14:textFill>
            <w14:solidFill>
              <w14:schemeClr w14:val="tx1"/>
            </w14:solidFill>
          </w14:textFill>
        </w:rPr>
        <w:t>前沿研究成果在临床和健康产业发展中的应用，推动癌症</w:t>
      </w:r>
      <w:r>
        <w:rPr>
          <w:rFonts w:hint="eastAsia" w:ascii="仿宋" w:hAnsi="仿宋" w:eastAsia="仿宋" w:cs="仿宋"/>
          <w:color w:val="000000" w:themeColor="text1"/>
          <w:spacing w:val="8"/>
          <w:sz w:val="32"/>
          <w:szCs w:val="32"/>
          <w14:textFill>
            <w14:solidFill>
              <w14:schemeClr w14:val="tx1"/>
            </w14:solidFill>
          </w14:textFill>
        </w:rPr>
        <w:t>早筛技术、前沿治疗技术等研究取得突破。推动一批研究</w:t>
      </w:r>
      <w:r>
        <w:rPr>
          <w:rFonts w:hint="eastAsia" w:ascii="仿宋" w:hAnsi="仿宋" w:eastAsia="仿宋" w:cs="仿宋"/>
          <w:color w:val="000000" w:themeColor="text1"/>
          <w:spacing w:val="7"/>
          <w:sz w:val="32"/>
          <w:szCs w:val="32"/>
          <w14:textFill>
            <w14:solidFill>
              <w14:schemeClr w14:val="tx1"/>
            </w14:solidFill>
          </w14:textFill>
        </w:rPr>
        <w:t>成果转化</w:t>
      </w:r>
      <w:r>
        <w:rPr>
          <w:rFonts w:hint="eastAsia" w:ascii="仿宋" w:hAnsi="仿宋" w:eastAsia="仿宋" w:cs="仿宋"/>
          <w:color w:val="000000" w:themeColor="text1"/>
          <w:spacing w:val="5"/>
          <w:sz w:val="32"/>
          <w:szCs w:val="32"/>
          <w14:textFill>
            <w14:solidFill>
              <w14:schemeClr w14:val="tx1"/>
            </w14:solidFill>
          </w14:textFill>
        </w:rPr>
        <w:t>和推广平台建设，探索癌症科研成果推广和产业化有</w:t>
      </w:r>
      <w:r>
        <w:rPr>
          <w:rFonts w:hint="eastAsia" w:ascii="仿宋" w:hAnsi="仿宋" w:eastAsia="仿宋" w:cs="仿宋"/>
          <w:color w:val="000000" w:themeColor="text1"/>
          <w:spacing w:val="8"/>
          <w:sz w:val="32"/>
          <w:szCs w:val="32"/>
          <w14:textFill>
            <w14:solidFill>
              <w14:schemeClr w14:val="tx1"/>
            </w14:solidFill>
          </w14:textFill>
        </w:rPr>
        <w:t>效途径，支持以知识产权、技术要素入股等方式与企业合作。</w:t>
      </w:r>
      <w:r>
        <w:rPr>
          <w:rFonts w:hint="eastAsia" w:ascii="仿宋_GB2312" w:hAnsi="仿宋_GB2312" w:eastAsia="仿宋_GB2312" w:cs="仿宋_GB2312"/>
          <w:b/>
          <w:bCs/>
          <w:snapToGrid w:val="0"/>
          <w:color w:val="000000" w:themeColor="text1"/>
          <w:spacing w:val="2"/>
          <w:kern w:val="0"/>
          <w:sz w:val="32"/>
          <w:szCs w:val="32"/>
          <w14:textFill>
            <w14:solidFill>
              <w14:schemeClr w14:val="tx1"/>
            </w14:solidFill>
          </w14:textFill>
        </w:rPr>
        <w:t>（县科技局、县卫健委分别负责）</w:t>
      </w:r>
    </w:p>
    <w:p w14:paraId="10C36124">
      <w:pPr>
        <w:autoSpaceDE w:val="0"/>
        <w:autoSpaceDN w:val="0"/>
        <w:adjustRightInd w:val="0"/>
        <w:snapToGrid w:val="0"/>
        <w:spacing w:line="540" w:lineRule="exact"/>
        <w:ind w:firstLine="640" w:firstLineChars="200"/>
        <w:jc w:val="left"/>
        <w:textAlignment w:val="baseline"/>
        <w:rPr>
          <w:rFonts w:ascii="黑体" w:hAnsi="黑体" w:eastAsia="黑体" w:cs="黑体"/>
          <w:sz w:val="32"/>
          <w:szCs w:val="32"/>
        </w:rPr>
      </w:pPr>
      <w:r>
        <w:rPr>
          <w:rFonts w:hint="eastAsia" w:ascii="黑体" w:hAnsi="黑体" w:eastAsia="黑体" w:cs="黑体"/>
          <w:sz w:val="32"/>
          <w:szCs w:val="32"/>
        </w:rPr>
        <w:t>八、组织实施</w:t>
      </w:r>
    </w:p>
    <w:p w14:paraId="7A7322E6">
      <w:pPr>
        <w:autoSpaceDE w:val="0"/>
        <w:autoSpaceDN w:val="0"/>
        <w:adjustRightInd w:val="0"/>
        <w:snapToGrid w:val="0"/>
        <w:spacing w:line="540" w:lineRule="exact"/>
        <w:ind w:firstLine="699" w:firstLineChars="200"/>
        <w:textAlignment w:val="baseline"/>
        <w:rPr>
          <w:rFonts w:ascii="仿宋" w:hAnsi="仿宋" w:eastAsia="仿宋" w:cs="仿宋"/>
          <w:sz w:val="32"/>
          <w:szCs w:val="32"/>
        </w:rPr>
      </w:pPr>
      <w:r>
        <w:rPr>
          <w:rFonts w:hint="eastAsia" w:ascii="楷体_GB2312" w:hAnsi="仿宋" w:eastAsia="楷体_GB2312" w:cs="仿宋"/>
          <w:b/>
          <w:bCs/>
          <w:spacing w:val="14"/>
          <w:sz w:val="32"/>
          <w:szCs w:val="32"/>
        </w:rPr>
        <w:t>（二十六）加强组织领导。</w:t>
      </w:r>
      <w:r>
        <w:rPr>
          <w:rFonts w:hint="eastAsia" w:ascii="仿宋_GB2312" w:hAnsi="仿宋_GB2312" w:eastAsia="仿宋_GB2312" w:cs="仿宋_GB2312"/>
          <w:snapToGrid w:val="0"/>
          <w:color w:val="000000"/>
          <w:spacing w:val="2"/>
          <w:kern w:val="0"/>
          <w:sz w:val="32"/>
          <w:szCs w:val="32"/>
        </w:rPr>
        <w:t>各单位要建立完善癌症防治工作领导协调机制，形成工作合力，研究制定具体工作方案，加强组织实施和综合指导，确保各项工作目标如期实现。要按规定落实财政投入，积极鼓励社会资本投入癌症防治，推动建立多元化的资金筹措机制，集中各方力量为推进癌症防治提供支持和保障。</w:t>
      </w:r>
      <w:r>
        <w:rPr>
          <w:rFonts w:hint="eastAsia" w:ascii="仿宋_GB2312" w:hAnsi="仿宋_GB2312" w:eastAsia="仿宋_GB2312" w:cs="仿宋_GB2312"/>
          <w:b/>
          <w:bCs/>
          <w:snapToGrid w:val="0"/>
          <w:color w:val="000000"/>
          <w:spacing w:val="2"/>
          <w:kern w:val="0"/>
          <w:sz w:val="32"/>
          <w:szCs w:val="32"/>
        </w:rPr>
        <w:t>（各有关部门按职责分工负责）</w:t>
      </w:r>
    </w:p>
    <w:p w14:paraId="122F030A">
      <w:pPr>
        <w:autoSpaceDE w:val="0"/>
        <w:autoSpaceDN w:val="0"/>
        <w:adjustRightInd w:val="0"/>
        <w:snapToGrid w:val="0"/>
        <w:spacing w:line="540" w:lineRule="exact"/>
        <w:ind w:firstLine="699" w:firstLineChars="200"/>
        <w:textAlignment w:val="baseline"/>
        <w:rPr>
          <w:rFonts w:ascii="仿宋" w:hAnsi="仿宋" w:eastAsia="仿宋" w:cs="仿宋"/>
          <w:sz w:val="32"/>
          <w:szCs w:val="32"/>
        </w:rPr>
      </w:pPr>
      <w:r>
        <w:rPr>
          <w:rFonts w:hint="eastAsia" w:ascii="楷体_GB2312" w:hAnsi="仿宋" w:eastAsia="楷体_GB2312" w:cs="仿宋"/>
          <w:b/>
          <w:bCs/>
          <w:spacing w:val="14"/>
          <w:sz w:val="32"/>
          <w:szCs w:val="32"/>
        </w:rPr>
        <w:t>（二十七）加强统筹协调。</w:t>
      </w:r>
      <w:r>
        <w:rPr>
          <w:rFonts w:hint="eastAsia" w:ascii="仿宋_GB2312" w:hAnsi="仿宋_GB2312" w:eastAsia="仿宋_GB2312" w:cs="仿宋_GB2312"/>
          <w:snapToGrid w:val="0"/>
          <w:color w:val="000000"/>
          <w:spacing w:val="2"/>
          <w:kern w:val="0"/>
          <w:sz w:val="32"/>
          <w:szCs w:val="32"/>
        </w:rPr>
        <w:t>各单位要加强癌症防治行动与健康信丰其他有关专项行动的有机结合、整体推进。要加强资源统筹和协同，健全工作机制，充分调动全社会参与癌症防治工作的积极性，大力营造有利于癌症防治的社会环境。</w:t>
      </w:r>
      <w:r>
        <w:rPr>
          <w:rFonts w:hint="eastAsia" w:ascii="仿宋_GB2312" w:hAnsi="仿宋_GB2312" w:eastAsia="仿宋_GB2312" w:cs="仿宋_GB2312"/>
          <w:b/>
          <w:bCs/>
          <w:snapToGrid w:val="0"/>
          <w:color w:val="000000"/>
          <w:spacing w:val="2"/>
          <w:kern w:val="0"/>
          <w:sz w:val="32"/>
          <w:szCs w:val="32"/>
        </w:rPr>
        <w:t>（各有关部门按职责分工负责）</w:t>
      </w:r>
    </w:p>
    <w:p w14:paraId="20A93550">
      <w:pPr>
        <w:autoSpaceDE w:val="0"/>
        <w:autoSpaceDN w:val="0"/>
        <w:adjustRightInd w:val="0"/>
        <w:snapToGrid w:val="0"/>
        <w:spacing w:line="540" w:lineRule="exact"/>
        <w:ind w:firstLine="727" w:firstLineChars="200"/>
        <w:textAlignment w:val="baseline"/>
        <w:rPr>
          <w:rFonts w:ascii="仿宋_GB2312" w:hAnsi="仿宋_GB2312" w:eastAsia="仿宋_GB2312" w:cs="仿宋_GB2312"/>
          <w:sz w:val="32"/>
          <w:szCs w:val="32"/>
        </w:rPr>
      </w:pPr>
      <w:r>
        <w:rPr>
          <w:rFonts w:hint="eastAsia" w:ascii="楷体_GB2312" w:hAnsi="仿宋" w:eastAsia="楷体_GB2312" w:cs="仿宋"/>
          <w:b/>
          <w:bCs/>
          <w:spacing w:val="21"/>
          <w:sz w:val="32"/>
          <w:szCs w:val="32"/>
        </w:rPr>
        <w:t>（二十八）加强督促落实。</w:t>
      </w:r>
      <w:r>
        <w:rPr>
          <w:rFonts w:hint="eastAsia" w:ascii="仿宋_GB2312" w:hAnsi="仿宋_GB2312" w:eastAsia="仿宋_GB2312" w:cs="仿宋_GB2312"/>
          <w:snapToGrid w:val="0"/>
          <w:color w:val="000000"/>
          <w:spacing w:val="2"/>
          <w:kern w:val="0"/>
          <w:sz w:val="32"/>
          <w:szCs w:val="32"/>
        </w:rPr>
        <w:t>县卫生健康委将会同有关部门针对防治工作措施落实情况进行评估，综合评价政策措施实施效果。</w:t>
      </w:r>
      <w:r>
        <w:rPr>
          <w:rFonts w:hint="eastAsia" w:ascii="仿宋_GB2312" w:hAnsi="仿宋_GB2312" w:eastAsia="仿宋_GB2312" w:cs="仿宋_GB2312"/>
          <w:b/>
          <w:bCs/>
          <w:snapToGrid w:val="0"/>
          <w:color w:val="000000"/>
          <w:spacing w:val="2"/>
          <w:kern w:val="0"/>
          <w:sz w:val="32"/>
          <w:szCs w:val="32"/>
        </w:rPr>
        <w:t>（县卫健委牵头，各有关部门配合）</w:t>
      </w:r>
    </w:p>
    <w:sectPr>
      <w:footerReference r:id="rId4" w:type="default"/>
      <w:pgSz w:w="11907" w:h="16839"/>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D424">
    <w:pPr>
      <w:pStyle w:val="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77EAC">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E77EAC">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E8F5">
    <w:pPr>
      <w:pStyle w:val="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A5285">
                          <w:pPr>
                            <w:pStyle w:val="6"/>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AA5285">
                    <w:pPr>
                      <w:pStyle w:val="6"/>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YTc3NmM2NDYzNmM2Yzg0MDI5ZWRlMTUyYTk0MjkifQ=="/>
    <w:docVar w:name="KSO_WPS_MARK_KEY" w:val="316bb36d-a7d9-4d16-9ea1-03dda31b90c0"/>
  </w:docVars>
  <w:rsids>
    <w:rsidRoot w:val="00F576E4"/>
    <w:rsid w:val="00010C06"/>
    <w:rsid w:val="00011085"/>
    <w:rsid w:val="00026A2F"/>
    <w:rsid w:val="00062C6A"/>
    <w:rsid w:val="000A1E37"/>
    <w:rsid w:val="000B3BE6"/>
    <w:rsid w:val="0011105E"/>
    <w:rsid w:val="00195EDF"/>
    <w:rsid w:val="001E71E5"/>
    <w:rsid w:val="001F086B"/>
    <w:rsid w:val="00201419"/>
    <w:rsid w:val="003221C8"/>
    <w:rsid w:val="003272B0"/>
    <w:rsid w:val="003630D2"/>
    <w:rsid w:val="00396F55"/>
    <w:rsid w:val="003F1CD1"/>
    <w:rsid w:val="003F7919"/>
    <w:rsid w:val="00460865"/>
    <w:rsid w:val="004A20FF"/>
    <w:rsid w:val="004A4B0C"/>
    <w:rsid w:val="004C59CC"/>
    <w:rsid w:val="00500C4E"/>
    <w:rsid w:val="005043DB"/>
    <w:rsid w:val="005308C9"/>
    <w:rsid w:val="00557FCB"/>
    <w:rsid w:val="00695963"/>
    <w:rsid w:val="006B262D"/>
    <w:rsid w:val="006D671F"/>
    <w:rsid w:val="00747745"/>
    <w:rsid w:val="007B2B27"/>
    <w:rsid w:val="007B79B5"/>
    <w:rsid w:val="007E03A1"/>
    <w:rsid w:val="00820551"/>
    <w:rsid w:val="00863C90"/>
    <w:rsid w:val="00871A3E"/>
    <w:rsid w:val="008972AE"/>
    <w:rsid w:val="008B0C25"/>
    <w:rsid w:val="008C6E4F"/>
    <w:rsid w:val="009119A6"/>
    <w:rsid w:val="00926643"/>
    <w:rsid w:val="00950A7E"/>
    <w:rsid w:val="009855B4"/>
    <w:rsid w:val="00996243"/>
    <w:rsid w:val="009A3EC0"/>
    <w:rsid w:val="00A060A3"/>
    <w:rsid w:val="00A2452A"/>
    <w:rsid w:val="00A7042F"/>
    <w:rsid w:val="00A75095"/>
    <w:rsid w:val="00A92170"/>
    <w:rsid w:val="00AC1887"/>
    <w:rsid w:val="00AF399B"/>
    <w:rsid w:val="00B00A82"/>
    <w:rsid w:val="00B32709"/>
    <w:rsid w:val="00B4311E"/>
    <w:rsid w:val="00B541EF"/>
    <w:rsid w:val="00B57095"/>
    <w:rsid w:val="00B72CE0"/>
    <w:rsid w:val="00BB5466"/>
    <w:rsid w:val="00BF57E3"/>
    <w:rsid w:val="00C86623"/>
    <w:rsid w:val="00C90A7D"/>
    <w:rsid w:val="00CA43A1"/>
    <w:rsid w:val="00CD785B"/>
    <w:rsid w:val="00CE707A"/>
    <w:rsid w:val="00CF05FF"/>
    <w:rsid w:val="00CF3CB9"/>
    <w:rsid w:val="00D179D7"/>
    <w:rsid w:val="00D428BE"/>
    <w:rsid w:val="00D42E92"/>
    <w:rsid w:val="00DE76B7"/>
    <w:rsid w:val="00E17B40"/>
    <w:rsid w:val="00E52F32"/>
    <w:rsid w:val="00E938BC"/>
    <w:rsid w:val="00EC078D"/>
    <w:rsid w:val="00EC55DD"/>
    <w:rsid w:val="00EE2521"/>
    <w:rsid w:val="00EE516F"/>
    <w:rsid w:val="00EF119B"/>
    <w:rsid w:val="00F36539"/>
    <w:rsid w:val="00F4133B"/>
    <w:rsid w:val="00F4785F"/>
    <w:rsid w:val="00F576E4"/>
    <w:rsid w:val="00F90AF4"/>
    <w:rsid w:val="00FC32D8"/>
    <w:rsid w:val="00FD20A9"/>
    <w:rsid w:val="00FD35B2"/>
    <w:rsid w:val="01D32DCE"/>
    <w:rsid w:val="01EC4BB0"/>
    <w:rsid w:val="026617D7"/>
    <w:rsid w:val="02B732ED"/>
    <w:rsid w:val="037247B2"/>
    <w:rsid w:val="041D6583"/>
    <w:rsid w:val="04351B1E"/>
    <w:rsid w:val="04E142F7"/>
    <w:rsid w:val="04EA29A9"/>
    <w:rsid w:val="05C4600E"/>
    <w:rsid w:val="05EF03F3"/>
    <w:rsid w:val="06255EA0"/>
    <w:rsid w:val="06803388"/>
    <w:rsid w:val="06DF3FC3"/>
    <w:rsid w:val="07140111"/>
    <w:rsid w:val="07740BAF"/>
    <w:rsid w:val="07924838"/>
    <w:rsid w:val="07A11524"/>
    <w:rsid w:val="094D4DE7"/>
    <w:rsid w:val="09B63701"/>
    <w:rsid w:val="0AAE43D8"/>
    <w:rsid w:val="0B160CD9"/>
    <w:rsid w:val="0B6C6373"/>
    <w:rsid w:val="0B7E5424"/>
    <w:rsid w:val="0BC31427"/>
    <w:rsid w:val="0C656734"/>
    <w:rsid w:val="0D350DE1"/>
    <w:rsid w:val="0E8B75B0"/>
    <w:rsid w:val="0EC44EC3"/>
    <w:rsid w:val="0F22470E"/>
    <w:rsid w:val="0F935D9E"/>
    <w:rsid w:val="0FD0094D"/>
    <w:rsid w:val="10BA7A43"/>
    <w:rsid w:val="10EC3848"/>
    <w:rsid w:val="110C3A70"/>
    <w:rsid w:val="12956E8E"/>
    <w:rsid w:val="12AF19E4"/>
    <w:rsid w:val="132C77B1"/>
    <w:rsid w:val="14D63337"/>
    <w:rsid w:val="14D700F7"/>
    <w:rsid w:val="14E12169"/>
    <w:rsid w:val="14FE762F"/>
    <w:rsid w:val="15865CB9"/>
    <w:rsid w:val="16A25EE4"/>
    <w:rsid w:val="17925022"/>
    <w:rsid w:val="17E75B5F"/>
    <w:rsid w:val="18AC1971"/>
    <w:rsid w:val="18D23988"/>
    <w:rsid w:val="19197809"/>
    <w:rsid w:val="1A3B0242"/>
    <w:rsid w:val="1A705206"/>
    <w:rsid w:val="1AA54AE1"/>
    <w:rsid w:val="1AE367B5"/>
    <w:rsid w:val="1C4B7512"/>
    <w:rsid w:val="1D1A3B44"/>
    <w:rsid w:val="1EC21155"/>
    <w:rsid w:val="1F2B2044"/>
    <w:rsid w:val="1F2F7C8B"/>
    <w:rsid w:val="1F8A4FBC"/>
    <w:rsid w:val="202270D2"/>
    <w:rsid w:val="20786959"/>
    <w:rsid w:val="20A976C4"/>
    <w:rsid w:val="211865F8"/>
    <w:rsid w:val="212F754F"/>
    <w:rsid w:val="21E3483A"/>
    <w:rsid w:val="226F0499"/>
    <w:rsid w:val="22D7265F"/>
    <w:rsid w:val="23983A20"/>
    <w:rsid w:val="23B75713"/>
    <w:rsid w:val="23E132C5"/>
    <w:rsid w:val="23F30C56"/>
    <w:rsid w:val="25177A01"/>
    <w:rsid w:val="251B1E75"/>
    <w:rsid w:val="252C4420"/>
    <w:rsid w:val="255F1CAB"/>
    <w:rsid w:val="25CE197B"/>
    <w:rsid w:val="27716A62"/>
    <w:rsid w:val="27ED2767"/>
    <w:rsid w:val="28381C02"/>
    <w:rsid w:val="28CD6215"/>
    <w:rsid w:val="28EF47C9"/>
    <w:rsid w:val="2A9D31C6"/>
    <w:rsid w:val="2AB4113F"/>
    <w:rsid w:val="2B352DC1"/>
    <w:rsid w:val="2C0B6F4F"/>
    <w:rsid w:val="2C6721E1"/>
    <w:rsid w:val="2C9A2F9D"/>
    <w:rsid w:val="2D2D51D9"/>
    <w:rsid w:val="2D3E1194"/>
    <w:rsid w:val="2D702F9F"/>
    <w:rsid w:val="2DBF73D4"/>
    <w:rsid w:val="2DCC49F2"/>
    <w:rsid w:val="2E41718E"/>
    <w:rsid w:val="2E5121F0"/>
    <w:rsid w:val="2E540E30"/>
    <w:rsid w:val="2E5729DA"/>
    <w:rsid w:val="2EEC2981"/>
    <w:rsid w:val="2F220D0A"/>
    <w:rsid w:val="2F8E475D"/>
    <w:rsid w:val="2FBB2F70"/>
    <w:rsid w:val="30226B4B"/>
    <w:rsid w:val="30F524B2"/>
    <w:rsid w:val="315A1EB3"/>
    <w:rsid w:val="32347BB2"/>
    <w:rsid w:val="33CD5020"/>
    <w:rsid w:val="3409704A"/>
    <w:rsid w:val="340E19EB"/>
    <w:rsid w:val="34BA7E16"/>
    <w:rsid w:val="3531597D"/>
    <w:rsid w:val="354B08F2"/>
    <w:rsid w:val="358A0B91"/>
    <w:rsid w:val="35D94418"/>
    <w:rsid w:val="36670D1A"/>
    <w:rsid w:val="36A425F0"/>
    <w:rsid w:val="374E46CA"/>
    <w:rsid w:val="37FB1B8E"/>
    <w:rsid w:val="3899376C"/>
    <w:rsid w:val="38FA68B7"/>
    <w:rsid w:val="38FB47D6"/>
    <w:rsid w:val="39311BAD"/>
    <w:rsid w:val="39B3315F"/>
    <w:rsid w:val="3A141A1A"/>
    <w:rsid w:val="3A6A7A6C"/>
    <w:rsid w:val="3B113817"/>
    <w:rsid w:val="3B1D1EFB"/>
    <w:rsid w:val="3BA37702"/>
    <w:rsid w:val="3BA44C68"/>
    <w:rsid w:val="3BDC1CBC"/>
    <w:rsid w:val="3BDF32AC"/>
    <w:rsid w:val="3C0502B2"/>
    <w:rsid w:val="3C7D50CE"/>
    <w:rsid w:val="3CC27911"/>
    <w:rsid w:val="3CE82ECA"/>
    <w:rsid w:val="3D1F4715"/>
    <w:rsid w:val="3D7334FE"/>
    <w:rsid w:val="3E5500EC"/>
    <w:rsid w:val="3EA57E7D"/>
    <w:rsid w:val="3F0044FB"/>
    <w:rsid w:val="3F073ADC"/>
    <w:rsid w:val="3F6B1C23"/>
    <w:rsid w:val="3F9B4224"/>
    <w:rsid w:val="3FCE6582"/>
    <w:rsid w:val="3FD15E98"/>
    <w:rsid w:val="4034687A"/>
    <w:rsid w:val="404B5C4A"/>
    <w:rsid w:val="407A681D"/>
    <w:rsid w:val="40C003E6"/>
    <w:rsid w:val="41471D87"/>
    <w:rsid w:val="417F5BE1"/>
    <w:rsid w:val="42103B77"/>
    <w:rsid w:val="44216096"/>
    <w:rsid w:val="446E0159"/>
    <w:rsid w:val="44781063"/>
    <w:rsid w:val="44DC3315"/>
    <w:rsid w:val="44EA58D3"/>
    <w:rsid w:val="45725A27"/>
    <w:rsid w:val="462211FB"/>
    <w:rsid w:val="4757361B"/>
    <w:rsid w:val="47B708B6"/>
    <w:rsid w:val="48455675"/>
    <w:rsid w:val="485245DC"/>
    <w:rsid w:val="48DE591D"/>
    <w:rsid w:val="49E113CD"/>
    <w:rsid w:val="4A084BAC"/>
    <w:rsid w:val="4A5D226A"/>
    <w:rsid w:val="4AC4758E"/>
    <w:rsid w:val="4AC62A9D"/>
    <w:rsid w:val="4B0C247A"/>
    <w:rsid w:val="4B2B417A"/>
    <w:rsid w:val="4B4B2FA2"/>
    <w:rsid w:val="4BC1398E"/>
    <w:rsid w:val="4C2D6BDC"/>
    <w:rsid w:val="4C5E3FB1"/>
    <w:rsid w:val="4CAC1CB3"/>
    <w:rsid w:val="4D1C06B5"/>
    <w:rsid w:val="4D8715F1"/>
    <w:rsid w:val="4DBF7985"/>
    <w:rsid w:val="4DC635ED"/>
    <w:rsid w:val="4DF94F37"/>
    <w:rsid w:val="4EBB21ED"/>
    <w:rsid w:val="4EBE533B"/>
    <w:rsid w:val="50425C18"/>
    <w:rsid w:val="50487AB0"/>
    <w:rsid w:val="50AD61BC"/>
    <w:rsid w:val="50FB15A2"/>
    <w:rsid w:val="510460CD"/>
    <w:rsid w:val="51675094"/>
    <w:rsid w:val="526365B6"/>
    <w:rsid w:val="52FB3500"/>
    <w:rsid w:val="531A28BB"/>
    <w:rsid w:val="540463E4"/>
    <w:rsid w:val="540957A8"/>
    <w:rsid w:val="548171E1"/>
    <w:rsid w:val="557D2F2A"/>
    <w:rsid w:val="568D0913"/>
    <w:rsid w:val="569775CC"/>
    <w:rsid w:val="56A811D8"/>
    <w:rsid w:val="575B631B"/>
    <w:rsid w:val="575F6218"/>
    <w:rsid w:val="576D45C3"/>
    <w:rsid w:val="57790E97"/>
    <w:rsid w:val="57F138AA"/>
    <w:rsid w:val="584C2108"/>
    <w:rsid w:val="585973A4"/>
    <w:rsid w:val="58627B7D"/>
    <w:rsid w:val="58922719"/>
    <w:rsid w:val="59C12681"/>
    <w:rsid w:val="59F91E1B"/>
    <w:rsid w:val="5A904555"/>
    <w:rsid w:val="5B647768"/>
    <w:rsid w:val="5C93136F"/>
    <w:rsid w:val="5D1D0E8B"/>
    <w:rsid w:val="5D1E5492"/>
    <w:rsid w:val="5D2115F3"/>
    <w:rsid w:val="5D237B7C"/>
    <w:rsid w:val="5D310BBF"/>
    <w:rsid w:val="5DF975BB"/>
    <w:rsid w:val="5E56783C"/>
    <w:rsid w:val="5EA73D07"/>
    <w:rsid w:val="5EE60AC3"/>
    <w:rsid w:val="61A2783A"/>
    <w:rsid w:val="61BF35FA"/>
    <w:rsid w:val="61CD4FB6"/>
    <w:rsid w:val="623C31ED"/>
    <w:rsid w:val="624D0F56"/>
    <w:rsid w:val="62863882"/>
    <w:rsid w:val="629C0C0F"/>
    <w:rsid w:val="62DF041F"/>
    <w:rsid w:val="647F6DB7"/>
    <w:rsid w:val="64E60574"/>
    <w:rsid w:val="65660012"/>
    <w:rsid w:val="667C7972"/>
    <w:rsid w:val="66873DA7"/>
    <w:rsid w:val="66F74C3C"/>
    <w:rsid w:val="67F54859"/>
    <w:rsid w:val="68F84FDA"/>
    <w:rsid w:val="6918360E"/>
    <w:rsid w:val="6A3550F2"/>
    <w:rsid w:val="6A371D7D"/>
    <w:rsid w:val="6ABD3EAD"/>
    <w:rsid w:val="6B560720"/>
    <w:rsid w:val="6B621B6E"/>
    <w:rsid w:val="6CC77611"/>
    <w:rsid w:val="6D2A25C0"/>
    <w:rsid w:val="6DCC7B1B"/>
    <w:rsid w:val="6DF42BCE"/>
    <w:rsid w:val="6E517D7D"/>
    <w:rsid w:val="700B0719"/>
    <w:rsid w:val="70383246"/>
    <w:rsid w:val="704936A5"/>
    <w:rsid w:val="708E2F14"/>
    <w:rsid w:val="7094762F"/>
    <w:rsid w:val="70A97C9F"/>
    <w:rsid w:val="70E1568B"/>
    <w:rsid w:val="71085A39"/>
    <w:rsid w:val="71390DE7"/>
    <w:rsid w:val="716D33C3"/>
    <w:rsid w:val="720B5296"/>
    <w:rsid w:val="72F03747"/>
    <w:rsid w:val="7300430F"/>
    <w:rsid w:val="73281BD7"/>
    <w:rsid w:val="736470E5"/>
    <w:rsid w:val="737076B7"/>
    <w:rsid w:val="73A66A49"/>
    <w:rsid w:val="73AA723B"/>
    <w:rsid w:val="73D17C39"/>
    <w:rsid w:val="74483A86"/>
    <w:rsid w:val="74693E61"/>
    <w:rsid w:val="748E78D8"/>
    <w:rsid w:val="75041948"/>
    <w:rsid w:val="750F1451"/>
    <w:rsid w:val="759C7F87"/>
    <w:rsid w:val="75E55C1E"/>
    <w:rsid w:val="75FE56B4"/>
    <w:rsid w:val="760D2A7F"/>
    <w:rsid w:val="76B80C3C"/>
    <w:rsid w:val="76D57A40"/>
    <w:rsid w:val="77355052"/>
    <w:rsid w:val="7A064282"/>
    <w:rsid w:val="7A19447F"/>
    <w:rsid w:val="7B4F111A"/>
    <w:rsid w:val="7BC47711"/>
    <w:rsid w:val="7BFF337A"/>
    <w:rsid w:val="7CF91441"/>
    <w:rsid w:val="7D3D633F"/>
    <w:rsid w:val="7D584F27"/>
    <w:rsid w:val="7F51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cs="Times New Roman"/>
    </w:rPr>
  </w:style>
  <w:style w:type="paragraph" w:styleId="3">
    <w:name w:val="Body Text"/>
    <w:basedOn w:val="1"/>
    <w:link w:val="22"/>
    <w:autoRedefine/>
    <w:qFormat/>
    <w:uiPriority w:val="0"/>
    <w:pPr>
      <w:spacing w:after="120"/>
    </w:pPr>
  </w:style>
  <w:style w:type="paragraph" w:styleId="4">
    <w:name w:val="Body Text Indent"/>
    <w:basedOn w:val="1"/>
    <w:autoRedefine/>
    <w:qFormat/>
    <w:uiPriority w:val="0"/>
    <w:pPr>
      <w:spacing w:after="120"/>
      <w:ind w:left="420" w:leftChars="200"/>
    </w:pPr>
  </w:style>
  <w:style w:type="paragraph" w:styleId="5">
    <w:name w:val="Balloon Text"/>
    <w:basedOn w:val="1"/>
    <w:link w:val="21"/>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4"/>
    <w:autoRedefine/>
    <w:qFormat/>
    <w:uiPriority w:val="0"/>
    <w:pPr>
      <w:ind w:firstLine="420" w:firstLineChars="200"/>
    </w:pPr>
    <w:rPr>
      <w:rFonts w:ascii="Times New Roman" w:hAnsi="Times New Roman" w:cs="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page number"/>
    <w:qFormat/>
    <w:uiPriority w:val="99"/>
    <w:rPr>
      <w:rFonts w:cs="Times New Roman"/>
    </w:rPr>
  </w:style>
  <w:style w:type="paragraph" w:customStyle="1" w:styleId="15">
    <w:name w:val="普通(网站)1"/>
    <w:basedOn w:val="1"/>
    <w:autoRedefine/>
    <w:qFormat/>
    <w:uiPriority w:val="0"/>
    <w:pPr>
      <w:jc w:val="left"/>
    </w:pPr>
    <w:rPr>
      <w:kern w:val="0"/>
      <w:sz w:val="24"/>
    </w:rPr>
  </w:style>
  <w:style w:type="paragraph" w:customStyle="1" w:styleId="16">
    <w:name w:val="HtmlNormal"/>
    <w:basedOn w:val="1"/>
    <w:autoRedefine/>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7">
    <w:name w:val="NormalCharacter"/>
    <w:autoRedefine/>
    <w:semiHidden/>
    <w:qFormat/>
    <w:uiPriority w:val="0"/>
    <w:rPr>
      <w:kern w:val="2"/>
      <w:sz w:val="21"/>
      <w:szCs w:val="24"/>
      <w:lang w:val="en-US" w:eastAsia="zh-CN" w:bidi="ar-SA"/>
    </w:rPr>
  </w:style>
  <w:style w:type="character" w:customStyle="1" w:styleId="18">
    <w:name w:val="页眉 Char"/>
    <w:basedOn w:val="12"/>
    <w:link w:val="7"/>
    <w:autoRedefine/>
    <w:qFormat/>
    <w:uiPriority w:val="0"/>
    <w:rPr>
      <w:rFonts w:ascii="Calibri" w:hAnsi="Calibri" w:cs="宋体"/>
      <w:kern w:val="2"/>
      <w:sz w:val="18"/>
      <w:szCs w:val="18"/>
    </w:rPr>
  </w:style>
  <w:style w:type="character" w:customStyle="1" w:styleId="19">
    <w:name w:val="页脚 Char"/>
    <w:basedOn w:val="12"/>
    <w:link w:val="6"/>
    <w:autoRedefine/>
    <w:qFormat/>
    <w:uiPriority w:val="0"/>
    <w:rPr>
      <w:rFonts w:ascii="Calibri" w:hAnsi="Calibri" w:cs="宋体"/>
      <w:kern w:val="2"/>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批注框文本 Char"/>
    <w:basedOn w:val="12"/>
    <w:link w:val="5"/>
    <w:autoRedefine/>
    <w:qFormat/>
    <w:uiPriority w:val="0"/>
    <w:rPr>
      <w:rFonts w:ascii="Calibri" w:hAnsi="Calibri" w:cs="宋体"/>
      <w:kern w:val="2"/>
      <w:sz w:val="18"/>
      <w:szCs w:val="18"/>
    </w:rPr>
  </w:style>
  <w:style w:type="character" w:customStyle="1" w:styleId="22">
    <w:name w:val="正文文本 Char"/>
    <w:basedOn w:val="12"/>
    <w:link w:val="3"/>
    <w:autoRedefine/>
    <w:qFormat/>
    <w:uiPriority w:val="0"/>
    <w:rPr>
      <w:rFonts w:ascii="Calibri" w:hAnsi="Calibri" w:cs="宋体"/>
      <w:kern w:val="2"/>
      <w:sz w:val="21"/>
      <w:szCs w:val="24"/>
    </w:rPr>
  </w:style>
  <w:style w:type="paragraph" w:customStyle="1" w:styleId="23">
    <w:name w:val="页脚1"/>
    <w:basedOn w:val="1"/>
    <w:autoRedefine/>
    <w:qFormat/>
    <w:uiPriority w:val="0"/>
    <w:pPr>
      <w:tabs>
        <w:tab w:val="center" w:pos="4153"/>
        <w:tab w:val="right" w:pos="8306"/>
      </w:tabs>
      <w:snapToGrid w:val="0"/>
      <w:jc w:val="left"/>
    </w:pPr>
    <w:rPr>
      <w:rFonts w:ascii="Times New Roman" w:hAnsi="Times New Roman"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5164</Words>
  <Characters>5247</Characters>
  <Lines>38</Lines>
  <Paragraphs>10</Paragraphs>
  <TotalTime>3</TotalTime>
  <ScaleCrop>false</ScaleCrop>
  <LinksUpToDate>false</LinksUpToDate>
  <CharactersWithSpaces>5365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2024-07-23T07:15:00Z</dcterms:created>
  <dc:creator>Administrator</dc:creator>
  <cp:lastModifiedBy>.</cp:lastModifiedBy>
  <cp:lastPrinted>2024-07-23T07:23:00Z</cp:lastPrinted>
  <dcterms:modified xsi:type="dcterms:W3CDTF">2024-10-08T07:48:41Z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733D264389A94A9D800DB116A637425B_13</vt:lpwstr>
  </property>
</Properties>
</file>